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B22E1" w:rsidRDefault="006B22E1">
      <w:pPr>
        <w:rPr>
          <w:b/>
          <w:color w:val="002060"/>
          <w:sz w:val="36"/>
          <w:szCs w:val="36"/>
        </w:rPr>
      </w:pPr>
    </w:p>
    <w:p w:rsidR="006B22E1" w:rsidRDefault="006B22E1">
      <w:pPr>
        <w:jc w:val="center"/>
        <w:rPr>
          <w:b/>
          <w:color w:val="002060"/>
          <w:sz w:val="36"/>
          <w:szCs w:val="36"/>
        </w:rPr>
      </w:pPr>
    </w:p>
    <w:p w:rsidR="006B22E1" w:rsidRDefault="006B22E1">
      <w:pPr>
        <w:jc w:val="center"/>
        <w:rPr>
          <w:b/>
          <w:color w:val="002060"/>
          <w:sz w:val="36"/>
          <w:szCs w:val="36"/>
        </w:rPr>
      </w:pPr>
    </w:p>
    <w:p w:rsidR="006B22E1" w:rsidRDefault="00000000">
      <w:pPr>
        <w:jc w:val="center"/>
        <w:rPr>
          <w:rFonts w:ascii="Garamond" w:eastAsia="Garamond" w:hAnsi="Garamond" w:cs="Garamond"/>
          <w:b/>
          <w:color w:val="002060"/>
          <w:sz w:val="36"/>
          <w:szCs w:val="36"/>
        </w:rPr>
      </w:pPr>
      <w:r>
        <w:rPr>
          <w:noProof/>
          <w:sz w:val="32"/>
          <w:szCs w:val="32"/>
        </w:rPr>
        <w:drawing>
          <wp:inline distT="0" distB="0" distL="0" distR="0">
            <wp:extent cx="762000" cy="857250"/>
            <wp:effectExtent l="0" t="0" r="0" b="0"/>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762000" cy="857250"/>
                    </a:xfrm>
                    <a:prstGeom prst="rect">
                      <a:avLst/>
                    </a:prstGeom>
                    <a:ln/>
                  </pic:spPr>
                </pic:pic>
              </a:graphicData>
            </a:graphic>
          </wp:inline>
        </w:drawing>
      </w:r>
    </w:p>
    <w:p w:rsidR="006B22E1" w:rsidRDefault="006B22E1">
      <w:pPr>
        <w:jc w:val="center"/>
        <w:rPr>
          <w:rFonts w:ascii="Garamond" w:eastAsia="Garamond" w:hAnsi="Garamond" w:cs="Garamond"/>
          <w:b/>
          <w:color w:val="002060"/>
          <w:sz w:val="36"/>
          <w:szCs w:val="36"/>
        </w:rPr>
      </w:pPr>
    </w:p>
    <w:p w:rsidR="006B22E1" w:rsidRDefault="00000000">
      <w:pPr>
        <w:jc w:val="center"/>
      </w:pPr>
      <w:r>
        <w:rPr>
          <w:rFonts w:ascii="Garamond" w:eastAsia="Garamond" w:hAnsi="Garamond" w:cs="Garamond"/>
          <w:b/>
          <w:color w:val="002060"/>
          <w:sz w:val="36"/>
          <w:szCs w:val="36"/>
        </w:rPr>
        <w:t xml:space="preserve">   </w:t>
      </w:r>
      <w:r>
        <w:rPr>
          <w:sz w:val="32"/>
          <w:szCs w:val="32"/>
        </w:rPr>
        <w:t>I.I.S.S. "Gioeni - Trabia"</w:t>
      </w:r>
    </w:p>
    <w:p w:rsidR="006B22E1" w:rsidRDefault="00000000">
      <w:pPr>
        <w:jc w:val="center"/>
        <w:rPr>
          <w:sz w:val="32"/>
          <w:szCs w:val="32"/>
        </w:rPr>
      </w:pPr>
      <w:r>
        <w:rPr>
          <w:sz w:val="32"/>
          <w:szCs w:val="32"/>
        </w:rPr>
        <w:t>PALERMO</w:t>
      </w:r>
    </w:p>
    <w:p w:rsidR="006B22E1" w:rsidRDefault="006B22E1">
      <w:pPr>
        <w:jc w:val="center"/>
      </w:pPr>
    </w:p>
    <w:p w:rsidR="006B22E1" w:rsidRDefault="00000000">
      <w:pPr>
        <w:tabs>
          <w:tab w:val="left" w:pos="709"/>
          <w:tab w:val="left" w:pos="1418"/>
          <w:tab w:val="left" w:pos="2127"/>
          <w:tab w:val="left" w:pos="2836"/>
          <w:tab w:val="left" w:pos="3545"/>
          <w:tab w:val="left" w:pos="4254"/>
          <w:tab w:val="left" w:pos="4963"/>
          <w:tab w:val="left" w:pos="5672"/>
          <w:tab w:val="left" w:pos="6381"/>
          <w:tab w:val="left" w:pos="7210"/>
        </w:tabs>
        <w:spacing w:before="60" w:after="60"/>
        <w:rPr>
          <w:rFonts w:ascii="Garamond" w:eastAsia="Garamond" w:hAnsi="Garamond" w:cs="Garamond"/>
          <w:b/>
          <w:smallCaps/>
          <w:color w:val="002060"/>
        </w:rPr>
      </w:pPr>
      <w:r>
        <w:rPr>
          <w:rFonts w:ascii="Garamond" w:eastAsia="Garamond" w:hAnsi="Garamond" w:cs="Garamond"/>
        </w:rPr>
        <w:t xml:space="preserve">INDIRIZZO: </w:t>
      </w:r>
      <w:r>
        <w:rPr>
          <w:rFonts w:ascii="Garamond" w:eastAsia="Garamond" w:hAnsi="Garamond" w:cs="Garamond"/>
          <w:smallCaps/>
        </w:rPr>
        <w:t>Trasporti e Logistica</w:t>
      </w:r>
      <w:r>
        <w:rPr>
          <w:rFonts w:ascii="Garamond" w:eastAsia="Garamond" w:hAnsi="Garamond" w:cs="Garamond"/>
          <w:b/>
          <w:smallCaps/>
          <w:color w:val="002060"/>
        </w:rPr>
        <w:t xml:space="preserve"> </w:t>
      </w:r>
      <w:r>
        <w:rPr>
          <w:rFonts w:ascii="Garamond" w:eastAsia="Garamond" w:hAnsi="Garamond" w:cs="Garamond"/>
          <w:b/>
          <w:smallCaps/>
          <w:color w:val="002060"/>
        </w:rPr>
        <w:tab/>
      </w:r>
      <w:r>
        <w:rPr>
          <w:rFonts w:ascii="Garamond" w:eastAsia="Garamond" w:hAnsi="Garamond" w:cs="Garamond"/>
        </w:rPr>
        <w:t>ARTICOLAZIONE: CONDUZIONE DEL MEZZO</w:t>
      </w:r>
    </w:p>
    <w:p w:rsidR="006B22E1" w:rsidRDefault="00000000">
      <w:pPr>
        <w:spacing w:before="60" w:after="60"/>
        <w:jc w:val="center"/>
        <w:rPr>
          <w:rFonts w:ascii="Garamond" w:eastAsia="Garamond" w:hAnsi="Garamond" w:cs="Garamond"/>
          <w:b/>
          <w:smallCaps/>
        </w:rPr>
      </w:pPr>
      <w:r>
        <w:rPr>
          <w:rFonts w:ascii="Garamond" w:eastAsia="Garamond" w:hAnsi="Garamond" w:cs="Garamond"/>
        </w:rPr>
        <w:t>OPZIONE: CONDUZIONE DEL MEZZO AEREO</w:t>
      </w:r>
    </w:p>
    <w:p w:rsidR="006B22E1" w:rsidRDefault="006B22E1">
      <w:pPr>
        <w:spacing w:before="60" w:after="60"/>
        <w:rPr>
          <w:rFonts w:ascii="Garamond" w:eastAsia="Garamond" w:hAnsi="Garamond" w:cs="Garamond"/>
        </w:rPr>
      </w:pPr>
    </w:p>
    <w:p w:rsidR="006B22E1" w:rsidRDefault="006B22E1">
      <w:pPr>
        <w:jc w:val="both"/>
        <w:rPr>
          <w:rFonts w:ascii="Garamond" w:eastAsia="Garamond" w:hAnsi="Garamond" w:cs="Garamond"/>
          <w:b/>
          <w:color w:val="002060"/>
          <w:sz w:val="36"/>
          <w:szCs w:val="36"/>
        </w:rPr>
      </w:pPr>
    </w:p>
    <w:p w:rsidR="006B22E1" w:rsidRDefault="006B22E1">
      <w:pPr>
        <w:jc w:val="center"/>
        <w:rPr>
          <w:b/>
          <w:color w:val="002060"/>
          <w:sz w:val="36"/>
          <w:szCs w:val="36"/>
        </w:rPr>
      </w:pPr>
    </w:p>
    <w:p w:rsidR="006B22E1" w:rsidRDefault="006B22E1">
      <w:pPr>
        <w:jc w:val="center"/>
        <w:rPr>
          <w:b/>
          <w:color w:val="002060"/>
          <w:sz w:val="36"/>
          <w:szCs w:val="36"/>
        </w:rPr>
      </w:pPr>
    </w:p>
    <w:p w:rsidR="006B22E1" w:rsidRDefault="006B22E1">
      <w:pPr>
        <w:rPr>
          <w:b/>
          <w:color w:val="002060"/>
          <w:sz w:val="36"/>
          <w:szCs w:val="36"/>
        </w:rPr>
      </w:pPr>
    </w:p>
    <w:p w:rsidR="006B22E1" w:rsidRDefault="006B22E1">
      <w:pPr>
        <w:tabs>
          <w:tab w:val="left" w:pos="709"/>
          <w:tab w:val="left" w:pos="1418"/>
          <w:tab w:val="left" w:pos="2127"/>
          <w:tab w:val="left" w:pos="2836"/>
          <w:tab w:val="left" w:pos="3545"/>
          <w:tab w:val="left" w:pos="4254"/>
          <w:tab w:val="left" w:pos="4963"/>
          <w:tab w:val="left" w:pos="5672"/>
          <w:tab w:val="left" w:pos="6381"/>
          <w:tab w:val="left" w:pos="7210"/>
        </w:tabs>
        <w:spacing w:before="60" w:after="60"/>
        <w:rPr>
          <w:rFonts w:ascii="Garamond" w:eastAsia="Garamond" w:hAnsi="Garamond" w:cs="Garamond"/>
          <w:b/>
          <w:smallCaps/>
        </w:rPr>
      </w:pPr>
    </w:p>
    <w:p w:rsidR="006B22E1" w:rsidRDefault="00000000">
      <w:pPr>
        <w:jc w:val="center"/>
        <w:rPr>
          <w:rFonts w:ascii="Garamond" w:eastAsia="Garamond" w:hAnsi="Garamond" w:cs="Garamond"/>
          <w:b/>
          <w:sz w:val="36"/>
          <w:szCs w:val="36"/>
        </w:rPr>
      </w:pPr>
      <w:r>
        <w:rPr>
          <w:rFonts w:ascii="Garamond" w:eastAsia="Garamond" w:hAnsi="Garamond" w:cs="Garamond"/>
          <w:b/>
          <w:sz w:val="36"/>
          <w:szCs w:val="36"/>
        </w:rPr>
        <w:t>PROGRAMMAZIONE DIDATTICA</w:t>
      </w:r>
    </w:p>
    <w:p w:rsidR="006B22E1" w:rsidRDefault="006B22E1">
      <w:pPr>
        <w:jc w:val="center"/>
        <w:rPr>
          <w:rFonts w:ascii="Garamond" w:eastAsia="Garamond" w:hAnsi="Garamond" w:cs="Garamond"/>
          <w:b/>
          <w:color w:val="002060"/>
          <w:sz w:val="16"/>
          <w:szCs w:val="16"/>
        </w:rPr>
      </w:pPr>
    </w:p>
    <w:p w:rsidR="006B22E1" w:rsidRDefault="006B22E1">
      <w:pPr>
        <w:spacing w:before="60" w:after="60"/>
        <w:rPr>
          <w:rFonts w:ascii="Garamond" w:eastAsia="Garamond" w:hAnsi="Garamond" w:cs="Garamond"/>
        </w:rPr>
      </w:pPr>
    </w:p>
    <w:p w:rsidR="006B22E1" w:rsidRDefault="006B22E1">
      <w:pPr>
        <w:spacing w:before="60" w:after="60"/>
        <w:rPr>
          <w:rFonts w:ascii="Garamond" w:eastAsia="Garamond" w:hAnsi="Garamond" w:cs="Garamond"/>
        </w:rPr>
      </w:pPr>
    </w:p>
    <w:p w:rsidR="006B22E1" w:rsidRDefault="00000000">
      <w:pPr>
        <w:spacing w:before="60" w:after="60"/>
        <w:rPr>
          <w:rFonts w:ascii="Garamond" w:eastAsia="Garamond" w:hAnsi="Garamond" w:cs="Garamond"/>
        </w:rPr>
      </w:pPr>
      <w:r>
        <w:rPr>
          <w:sz w:val="28"/>
          <w:szCs w:val="28"/>
        </w:rPr>
        <w:t>CLASSE:</w:t>
      </w:r>
      <w:r>
        <w:rPr>
          <w:rFonts w:ascii="Garamond" w:eastAsia="Garamond" w:hAnsi="Garamond" w:cs="Garamond"/>
        </w:rPr>
        <w:t xml:space="preserve"> 3°   </w:t>
      </w:r>
      <w:r>
        <w:t>Sez. aeronautica</w:t>
      </w:r>
      <w:r>
        <w:tab/>
      </w:r>
      <w:r>
        <w:rPr>
          <w:rFonts w:ascii="Garamond" w:eastAsia="Garamond" w:hAnsi="Garamond" w:cs="Garamond"/>
        </w:rPr>
        <w:tab/>
      </w:r>
      <w:r>
        <w:rPr>
          <w:rFonts w:ascii="Garamond" w:eastAsia="Garamond" w:hAnsi="Garamond" w:cs="Garamond"/>
        </w:rPr>
        <w:tab/>
      </w:r>
      <w:r>
        <w:rPr>
          <w:rFonts w:ascii="Garamond" w:eastAsia="Garamond" w:hAnsi="Garamond" w:cs="Garamond"/>
        </w:rPr>
        <w:tab/>
        <w:t xml:space="preserve">   </w:t>
      </w:r>
      <w:r>
        <w:rPr>
          <w:rFonts w:ascii="Garamond" w:eastAsia="Garamond" w:hAnsi="Garamond" w:cs="Garamond"/>
        </w:rPr>
        <w:tab/>
      </w:r>
      <w:r>
        <w:rPr>
          <w:rFonts w:ascii="Garamond" w:eastAsia="Garamond" w:hAnsi="Garamond" w:cs="Garamond"/>
        </w:rPr>
        <w:tab/>
      </w:r>
      <w:r>
        <w:rPr>
          <w:rFonts w:ascii="Garamond" w:eastAsia="Garamond" w:hAnsi="Garamond" w:cs="Garamond"/>
        </w:rPr>
        <w:tab/>
      </w:r>
      <w:r>
        <w:rPr>
          <w:sz w:val="28"/>
          <w:szCs w:val="28"/>
        </w:rPr>
        <w:t>A. S.</w:t>
      </w:r>
      <w:r>
        <w:rPr>
          <w:rFonts w:ascii="Garamond" w:eastAsia="Garamond" w:hAnsi="Garamond" w:cs="Garamond"/>
        </w:rPr>
        <w:t xml:space="preserve"> </w:t>
      </w:r>
    </w:p>
    <w:p w:rsidR="006B22E1" w:rsidRDefault="006B22E1">
      <w:pPr>
        <w:spacing w:before="60" w:after="60"/>
        <w:rPr>
          <w:rFonts w:ascii="Garamond" w:eastAsia="Garamond" w:hAnsi="Garamond" w:cs="Garamond"/>
        </w:rPr>
      </w:pPr>
    </w:p>
    <w:p w:rsidR="006B22E1" w:rsidRDefault="006B22E1">
      <w:pPr>
        <w:spacing w:before="60" w:after="60"/>
        <w:rPr>
          <w:rFonts w:ascii="Garamond" w:eastAsia="Garamond" w:hAnsi="Garamond" w:cs="Garamond"/>
        </w:rPr>
      </w:pPr>
    </w:p>
    <w:p w:rsidR="006B22E1" w:rsidRDefault="00000000">
      <w:pPr>
        <w:spacing w:before="60" w:after="60"/>
        <w:rPr>
          <w:smallCaps/>
          <w:sz w:val="28"/>
          <w:szCs w:val="28"/>
        </w:rPr>
      </w:pPr>
      <w:r>
        <w:rPr>
          <w:sz w:val="28"/>
          <w:szCs w:val="28"/>
        </w:rPr>
        <w:t>DISCIPLINA</w:t>
      </w:r>
      <w:r>
        <w:rPr>
          <w:rFonts w:ascii="Garamond" w:eastAsia="Garamond" w:hAnsi="Garamond" w:cs="Garamond"/>
        </w:rPr>
        <w:t xml:space="preserve">: </w:t>
      </w:r>
      <w:r>
        <w:rPr>
          <w:rFonts w:ascii="Garamond" w:eastAsia="Garamond" w:hAnsi="Garamond" w:cs="Garamond"/>
          <w:smallCaps/>
        </w:rPr>
        <w:t>Diritto ED ECONOMIA</w:t>
      </w:r>
      <w:r>
        <w:rPr>
          <w:rFonts w:ascii="Garamond" w:eastAsia="Garamond" w:hAnsi="Garamond" w:cs="Garamond"/>
          <w:smallCaps/>
          <w:sz w:val="44"/>
          <w:szCs w:val="44"/>
        </w:rPr>
        <w:tab/>
        <w:t xml:space="preserve">          </w:t>
      </w:r>
      <w:r>
        <w:rPr>
          <w:rFonts w:ascii="Garamond" w:eastAsia="Garamond" w:hAnsi="Garamond" w:cs="Garamond"/>
          <w:smallCaps/>
          <w:sz w:val="44"/>
          <w:szCs w:val="44"/>
        </w:rPr>
        <w:tab/>
      </w:r>
      <w:r>
        <w:rPr>
          <w:rFonts w:ascii="Garamond" w:eastAsia="Garamond" w:hAnsi="Garamond" w:cs="Garamond"/>
          <w:smallCaps/>
          <w:sz w:val="44"/>
          <w:szCs w:val="44"/>
        </w:rPr>
        <w:tab/>
      </w:r>
      <w:r>
        <w:rPr>
          <w:rFonts w:ascii="Garamond" w:eastAsia="Garamond" w:hAnsi="Garamond" w:cs="Garamond"/>
          <w:smallCaps/>
          <w:sz w:val="44"/>
          <w:szCs w:val="44"/>
        </w:rPr>
        <w:tab/>
      </w:r>
      <w:r>
        <w:rPr>
          <w:rFonts w:ascii="Garamond" w:eastAsia="Garamond" w:hAnsi="Garamond" w:cs="Garamond"/>
          <w:smallCaps/>
          <w:sz w:val="28"/>
          <w:szCs w:val="28"/>
        </w:rPr>
        <w:t xml:space="preserve">Prof. </w:t>
      </w:r>
    </w:p>
    <w:p w:rsidR="006B22E1" w:rsidRDefault="006B22E1">
      <w:pPr>
        <w:spacing w:before="60" w:after="60"/>
        <w:rPr>
          <w:rFonts w:ascii="Garamond" w:eastAsia="Garamond" w:hAnsi="Garamond" w:cs="Garamond"/>
        </w:rPr>
      </w:pPr>
    </w:p>
    <w:p w:rsidR="006B22E1" w:rsidRDefault="006B22E1">
      <w:pPr>
        <w:spacing w:before="60" w:after="60"/>
        <w:rPr>
          <w:rFonts w:ascii="Garamond" w:eastAsia="Garamond" w:hAnsi="Garamond" w:cs="Garamond"/>
        </w:rPr>
      </w:pPr>
    </w:p>
    <w:p w:rsidR="006B22E1" w:rsidRDefault="006B22E1">
      <w:pPr>
        <w:spacing w:before="60" w:after="60"/>
        <w:rPr>
          <w:rFonts w:ascii="Garamond" w:eastAsia="Garamond" w:hAnsi="Garamond" w:cs="Garamond"/>
        </w:rPr>
      </w:pPr>
    </w:p>
    <w:p w:rsidR="006B22E1" w:rsidRDefault="006B22E1">
      <w:pPr>
        <w:jc w:val="both"/>
        <w:rPr>
          <w:rFonts w:ascii="Garamond" w:eastAsia="Garamond" w:hAnsi="Garamond" w:cs="Garamond"/>
          <w:b/>
          <w:color w:val="002060"/>
          <w:sz w:val="36"/>
          <w:szCs w:val="36"/>
        </w:rPr>
      </w:pPr>
    </w:p>
    <w:p w:rsidR="006B22E1" w:rsidRDefault="006B22E1"/>
    <w:p w:rsidR="006B22E1" w:rsidRDefault="00000000">
      <w:pPr>
        <w:jc w:val="center"/>
        <w:rPr>
          <w:rFonts w:ascii="Garamond" w:eastAsia="Garamond" w:hAnsi="Garamond" w:cs="Garamond"/>
          <w:b/>
        </w:rPr>
      </w:pPr>
      <w:r>
        <w:rPr>
          <w:rFonts w:ascii="Garamond" w:eastAsia="Garamond" w:hAnsi="Garamond" w:cs="Garamond"/>
          <w:b/>
        </w:rPr>
        <w:tab/>
      </w:r>
      <w:r>
        <w:rPr>
          <w:rFonts w:ascii="Garamond" w:eastAsia="Garamond" w:hAnsi="Garamond" w:cs="Garamond"/>
          <w:b/>
        </w:rPr>
        <w:tab/>
      </w:r>
      <w:r>
        <w:rPr>
          <w:rFonts w:ascii="Garamond" w:eastAsia="Garamond" w:hAnsi="Garamond" w:cs="Garamond"/>
          <w:b/>
        </w:rPr>
        <w:tab/>
      </w:r>
    </w:p>
    <w:p w:rsidR="006B22E1" w:rsidRDefault="006B22E1">
      <w:pPr>
        <w:jc w:val="center"/>
        <w:rPr>
          <w:rFonts w:ascii="Garamond" w:eastAsia="Garamond" w:hAnsi="Garamond" w:cs="Garamond"/>
          <w:b/>
        </w:rPr>
      </w:pPr>
    </w:p>
    <w:p w:rsidR="006B22E1" w:rsidRDefault="006B22E1">
      <w:pPr>
        <w:jc w:val="center"/>
        <w:rPr>
          <w:rFonts w:ascii="Garamond" w:eastAsia="Garamond" w:hAnsi="Garamond" w:cs="Garamond"/>
          <w:b/>
        </w:rPr>
      </w:pPr>
    </w:p>
    <w:p w:rsidR="006B22E1" w:rsidRDefault="006B22E1">
      <w:pPr>
        <w:jc w:val="center"/>
        <w:rPr>
          <w:rFonts w:ascii="Garamond" w:eastAsia="Garamond" w:hAnsi="Garamond" w:cs="Garamond"/>
          <w:b/>
        </w:rPr>
      </w:pPr>
    </w:p>
    <w:p w:rsidR="006B22E1" w:rsidRDefault="006B22E1">
      <w:pPr>
        <w:jc w:val="center"/>
        <w:rPr>
          <w:rFonts w:ascii="Garamond" w:eastAsia="Garamond" w:hAnsi="Garamond" w:cs="Garamond"/>
          <w:b/>
        </w:rPr>
      </w:pPr>
    </w:p>
    <w:p w:rsidR="006B22E1" w:rsidRDefault="006B22E1">
      <w:pPr>
        <w:jc w:val="center"/>
        <w:rPr>
          <w:rFonts w:ascii="Garamond" w:eastAsia="Garamond" w:hAnsi="Garamond" w:cs="Garamond"/>
          <w:b/>
        </w:rPr>
      </w:pPr>
    </w:p>
    <w:p w:rsidR="006B22E1" w:rsidRDefault="006B22E1">
      <w:pPr>
        <w:jc w:val="center"/>
        <w:rPr>
          <w:rFonts w:ascii="Garamond" w:eastAsia="Garamond" w:hAnsi="Garamond" w:cs="Garamond"/>
          <w:b/>
        </w:rPr>
      </w:pPr>
    </w:p>
    <w:p w:rsidR="006B22E1" w:rsidRDefault="006B22E1">
      <w:pPr>
        <w:jc w:val="center"/>
        <w:rPr>
          <w:rFonts w:ascii="Garamond" w:eastAsia="Garamond" w:hAnsi="Garamond" w:cs="Garamond"/>
          <w:b/>
        </w:rPr>
      </w:pPr>
    </w:p>
    <w:p w:rsidR="006B22E1" w:rsidRDefault="006B22E1">
      <w:pPr>
        <w:jc w:val="center"/>
        <w:rPr>
          <w:rFonts w:ascii="Garamond" w:eastAsia="Garamond" w:hAnsi="Garamond" w:cs="Garamond"/>
          <w:b/>
        </w:rPr>
      </w:pPr>
    </w:p>
    <w:p w:rsidR="006B22E1" w:rsidRDefault="006B22E1">
      <w:pPr>
        <w:jc w:val="center"/>
        <w:rPr>
          <w:rFonts w:ascii="Garamond" w:eastAsia="Garamond" w:hAnsi="Garamond" w:cs="Garamond"/>
          <w:b/>
        </w:rPr>
      </w:pPr>
    </w:p>
    <w:p w:rsidR="006B22E1" w:rsidRDefault="006B22E1">
      <w:pPr>
        <w:jc w:val="center"/>
        <w:rPr>
          <w:rFonts w:ascii="Garamond" w:eastAsia="Garamond" w:hAnsi="Garamond" w:cs="Garamond"/>
          <w:b/>
        </w:rPr>
      </w:pPr>
    </w:p>
    <w:p w:rsidR="006B22E1" w:rsidRDefault="006B22E1">
      <w:pPr>
        <w:rPr>
          <w:rFonts w:ascii="Garamond" w:eastAsia="Garamond" w:hAnsi="Garamond" w:cs="Garamond"/>
          <w:b/>
        </w:rPr>
      </w:pPr>
    </w:p>
    <w:p w:rsidR="006B22E1" w:rsidRDefault="006B22E1"/>
    <w:p w:rsidR="006B22E1" w:rsidRDefault="006B22E1"/>
    <w:p w:rsidR="006B22E1" w:rsidRDefault="006B22E1"/>
    <w:p w:rsidR="006B22E1" w:rsidRDefault="006B22E1"/>
    <w:p w:rsidR="006B22E1" w:rsidRDefault="006B22E1"/>
    <w:p w:rsidR="006B22E1" w:rsidRDefault="006B22E1"/>
    <w:p w:rsidR="006B22E1" w:rsidRDefault="006B22E1"/>
    <w:p w:rsidR="006B22E1" w:rsidRDefault="006B22E1"/>
    <w:p w:rsidR="006B22E1" w:rsidRDefault="006B22E1">
      <w:pPr>
        <w:rPr>
          <w:b/>
        </w:rPr>
      </w:pPr>
    </w:p>
    <w:p w:rsidR="006B22E1" w:rsidRDefault="006B22E1">
      <w:pPr>
        <w:rPr>
          <w:b/>
        </w:rPr>
      </w:pPr>
    </w:p>
    <w:p w:rsidR="006B22E1" w:rsidRDefault="00000000">
      <w:pPr>
        <w:rPr>
          <w:b/>
        </w:rPr>
      </w:pPr>
      <w:r>
        <w:rPr>
          <w:b/>
        </w:rPr>
        <w:t>Modulo n.1 La disciplina giuridica del contratto</w:t>
      </w:r>
    </w:p>
    <w:p w:rsidR="006B22E1" w:rsidRDefault="006B22E1">
      <w:pPr>
        <w:rPr>
          <w:sz w:val="16"/>
          <w:szCs w:val="16"/>
        </w:rPr>
      </w:pPr>
    </w:p>
    <w:tbl>
      <w:tblPr>
        <w:tblStyle w:val="a"/>
        <w:tblW w:w="1049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42"/>
        <w:gridCol w:w="7555"/>
      </w:tblGrid>
      <w:tr w:rsidR="006B22E1">
        <w:trPr>
          <w:trHeight w:val="1001"/>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t xml:space="preserve">Prerequisiti </w:t>
            </w:r>
          </w:p>
        </w:tc>
        <w:tc>
          <w:tcPr>
            <w:tcW w:w="7555" w:type="dxa"/>
            <w:vAlign w:val="center"/>
          </w:tcPr>
          <w:p w:rsidR="006B22E1" w:rsidRDefault="006B22E1">
            <w:pPr>
              <w:pBdr>
                <w:top w:val="nil"/>
                <w:left w:val="nil"/>
                <w:bottom w:val="nil"/>
                <w:right w:val="nil"/>
                <w:between w:val="nil"/>
              </w:pBdr>
              <w:ind w:left="716"/>
              <w:jc w:val="both"/>
              <w:rPr>
                <w:color w:val="000000"/>
              </w:rPr>
            </w:pPr>
          </w:p>
          <w:p w:rsidR="006B22E1" w:rsidRDefault="00000000">
            <w:pPr>
              <w:numPr>
                <w:ilvl w:val="0"/>
                <w:numId w:val="2"/>
              </w:numPr>
              <w:pBdr>
                <w:top w:val="nil"/>
                <w:left w:val="nil"/>
                <w:bottom w:val="nil"/>
                <w:right w:val="nil"/>
                <w:between w:val="nil"/>
              </w:pBdr>
              <w:jc w:val="both"/>
            </w:pPr>
            <w:r>
              <w:rPr>
                <w:color w:val="000000"/>
              </w:rPr>
              <w:t>Conoscenza del concetto di rapporto giuridico e dei suoi elementi;</w:t>
            </w:r>
          </w:p>
          <w:p w:rsidR="006B22E1" w:rsidRDefault="00000000">
            <w:pPr>
              <w:numPr>
                <w:ilvl w:val="0"/>
                <w:numId w:val="2"/>
              </w:numPr>
              <w:pBdr>
                <w:top w:val="nil"/>
                <w:left w:val="nil"/>
                <w:bottom w:val="nil"/>
                <w:right w:val="nil"/>
                <w:between w:val="nil"/>
              </w:pBdr>
              <w:jc w:val="both"/>
            </w:pPr>
            <w:r>
              <w:rPr>
                <w:color w:val="000000"/>
              </w:rPr>
              <w:t>Distinzione tra bene mobile e immobile;</w:t>
            </w:r>
          </w:p>
          <w:p w:rsidR="006B22E1" w:rsidRDefault="00000000">
            <w:pPr>
              <w:numPr>
                <w:ilvl w:val="0"/>
                <w:numId w:val="2"/>
              </w:numPr>
              <w:pBdr>
                <w:top w:val="nil"/>
                <w:left w:val="nil"/>
                <w:bottom w:val="nil"/>
                <w:right w:val="nil"/>
                <w:between w:val="nil"/>
              </w:pBdr>
              <w:jc w:val="both"/>
            </w:pPr>
            <w:r>
              <w:rPr>
                <w:color w:val="000000"/>
              </w:rPr>
              <w:t>Rilevanza del decorso del tempo sui rapporti giuridici</w:t>
            </w:r>
          </w:p>
          <w:p w:rsidR="006B22E1" w:rsidRDefault="006B22E1">
            <w:pPr>
              <w:pBdr>
                <w:top w:val="nil"/>
                <w:left w:val="nil"/>
                <w:bottom w:val="nil"/>
                <w:right w:val="nil"/>
                <w:between w:val="nil"/>
              </w:pBdr>
              <w:ind w:left="716"/>
              <w:jc w:val="both"/>
              <w:rPr>
                <w:color w:val="000000"/>
              </w:rPr>
            </w:pPr>
          </w:p>
        </w:tc>
      </w:tr>
      <w:tr w:rsidR="006B22E1">
        <w:trPr>
          <w:trHeight w:val="950"/>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t>Discipline coinvolte</w:t>
            </w:r>
          </w:p>
        </w:tc>
        <w:tc>
          <w:tcPr>
            <w:tcW w:w="7555" w:type="dxa"/>
            <w:vAlign w:val="center"/>
          </w:tcPr>
          <w:p w:rsidR="006B22E1" w:rsidRDefault="006B22E1">
            <w:pPr>
              <w:pBdr>
                <w:top w:val="nil"/>
                <w:left w:val="nil"/>
                <w:bottom w:val="nil"/>
                <w:right w:val="nil"/>
                <w:between w:val="nil"/>
              </w:pBdr>
              <w:ind w:left="720"/>
              <w:jc w:val="both"/>
              <w:rPr>
                <w:color w:val="000000"/>
              </w:rPr>
            </w:pPr>
          </w:p>
        </w:tc>
      </w:tr>
      <w:tr w:rsidR="006B22E1">
        <w:trPr>
          <w:trHeight w:val="540"/>
          <w:jc w:val="center"/>
        </w:trPr>
        <w:tc>
          <w:tcPr>
            <w:tcW w:w="10497" w:type="dxa"/>
            <w:gridSpan w:val="2"/>
            <w:shd w:val="clear" w:color="auto" w:fill="002060"/>
            <w:vAlign w:val="center"/>
          </w:tcPr>
          <w:p w:rsidR="006B22E1" w:rsidRDefault="00000000">
            <w:pPr>
              <w:ind w:left="68" w:right="181"/>
              <w:jc w:val="center"/>
              <w:rPr>
                <w:smallCaps/>
                <w:color w:val="0070C0"/>
                <w:sz w:val="28"/>
                <w:szCs w:val="28"/>
              </w:rPr>
            </w:pPr>
            <w:r>
              <w:rPr>
                <w:b/>
                <w:smallCaps/>
                <w:sz w:val="28"/>
                <w:szCs w:val="28"/>
              </w:rPr>
              <w:t>Abilità</w:t>
            </w:r>
          </w:p>
        </w:tc>
      </w:tr>
      <w:tr w:rsidR="006B22E1">
        <w:trPr>
          <w:trHeight w:val="885"/>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t xml:space="preserve">Abilità LLGG </w:t>
            </w:r>
          </w:p>
        </w:tc>
        <w:tc>
          <w:tcPr>
            <w:tcW w:w="7555" w:type="dxa"/>
            <w:tcBorders>
              <w:top w:val="single" w:sz="4" w:space="0" w:color="000000"/>
            </w:tcBorders>
            <w:vAlign w:val="center"/>
          </w:tcPr>
          <w:p w:rsidR="006B22E1" w:rsidRDefault="00000000">
            <w:pPr>
              <w:numPr>
                <w:ilvl w:val="0"/>
                <w:numId w:val="1"/>
              </w:numPr>
              <w:pBdr>
                <w:top w:val="nil"/>
                <w:left w:val="nil"/>
                <w:bottom w:val="nil"/>
                <w:right w:val="nil"/>
                <w:between w:val="nil"/>
              </w:pBdr>
              <w:spacing w:before="120"/>
              <w:ind w:right="181"/>
              <w:jc w:val="both"/>
            </w:pPr>
            <w:r>
              <w:rPr>
                <w:color w:val="000000"/>
              </w:rPr>
              <w:t>Riconoscere gli elementi del contratto e descrivere le diverse tipologie di contratto</w:t>
            </w:r>
          </w:p>
          <w:p w:rsidR="006B22E1" w:rsidRDefault="00000000">
            <w:pPr>
              <w:numPr>
                <w:ilvl w:val="0"/>
                <w:numId w:val="1"/>
              </w:numPr>
              <w:pBdr>
                <w:top w:val="nil"/>
                <w:left w:val="nil"/>
                <w:bottom w:val="nil"/>
                <w:right w:val="nil"/>
                <w:between w:val="nil"/>
              </w:pBdr>
              <w:ind w:right="181"/>
              <w:jc w:val="both"/>
            </w:pPr>
            <w:r>
              <w:rPr>
                <w:color w:val="000000"/>
              </w:rPr>
              <w:t xml:space="preserve">Individuare le varie ipotesi di nullità, annullabilità, risoluzione e rescissione </w:t>
            </w:r>
          </w:p>
          <w:p w:rsidR="006B22E1" w:rsidRDefault="006B22E1">
            <w:pPr>
              <w:pBdr>
                <w:top w:val="nil"/>
                <w:left w:val="nil"/>
                <w:bottom w:val="nil"/>
                <w:right w:val="nil"/>
                <w:between w:val="nil"/>
              </w:pBdr>
              <w:spacing w:after="120"/>
              <w:ind w:left="720" w:right="181"/>
              <w:jc w:val="both"/>
              <w:rPr>
                <w:color w:val="000000"/>
              </w:rPr>
            </w:pPr>
          </w:p>
        </w:tc>
      </w:tr>
      <w:tr w:rsidR="006B22E1">
        <w:trPr>
          <w:trHeight w:val="3805"/>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t xml:space="preserve">Abilità </w:t>
            </w:r>
          </w:p>
          <w:p w:rsidR="006B22E1" w:rsidRDefault="00000000">
            <w:pPr>
              <w:pStyle w:val="Titolo2"/>
              <w:jc w:val="center"/>
              <w:rPr>
                <w:rFonts w:ascii="Times New Roman" w:hAnsi="Times New Roman"/>
                <w:sz w:val="24"/>
                <w:szCs w:val="24"/>
              </w:rPr>
            </w:pPr>
            <w:r>
              <w:rPr>
                <w:rFonts w:ascii="Times New Roman" w:hAnsi="Times New Roman"/>
                <w:sz w:val="24"/>
                <w:szCs w:val="24"/>
              </w:rPr>
              <w:t>da formulare</w:t>
            </w:r>
          </w:p>
        </w:tc>
        <w:tc>
          <w:tcPr>
            <w:tcW w:w="7555" w:type="dxa"/>
            <w:tcBorders>
              <w:top w:val="single" w:sz="4" w:space="0" w:color="000000"/>
            </w:tcBorders>
            <w:vAlign w:val="center"/>
          </w:tcPr>
          <w:p w:rsidR="006B22E1" w:rsidRDefault="006B22E1">
            <w:pPr>
              <w:pBdr>
                <w:top w:val="nil"/>
                <w:left w:val="nil"/>
                <w:bottom w:val="nil"/>
                <w:right w:val="nil"/>
                <w:between w:val="nil"/>
              </w:pBdr>
              <w:ind w:left="720"/>
              <w:rPr>
                <w:color w:val="000000"/>
              </w:rPr>
            </w:pPr>
          </w:p>
          <w:p w:rsidR="006B22E1" w:rsidRDefault="00000000">
            <w:pPr>
              <w:numPr>
                <w:ilvl w:val="0"/>
                <w:numId w:val="3"/>
              </w:numPr>
              <w:pBdr>
                <w:top w:val="nil"/>
                <w:left w:val="nil"/>
                <w:bottom w:val="nil"/>
                <w:right w:val="nil"/>
                <w:between w:val="nil"/>
              </w:pBdr>
            </w:pPr>
            <w:r>
              <w:rPr>
                <w:color w:val="000000"/>
              </w:rPr>
              <w:t>Individuare gli elementi del contratto, distinguendone la diversa natura e incidenza sulla validità ed efficacia dello stesso;</w:t>
            </w:r>
          </w:p>
          <w:p w:rsidR="006B22E1" w:rsidRDefault="00000000">
            <w:pPr>
              <w:numPr>
                <w:ilvl w:val="0"/>
                <w:numId w:val="3"/>
              </w:numPr>
              <w:pBdr>
                <w:top w:val="nil"/>
                <w:left w:val="nil"/>
                <w:bottom w:val="nil"/>
                <w:right w:val="nil"/>
                <w:between w:val="nil"/>
              </w:pBdr>
            </w:pPr>
            <w:r>
              <w:rPr>
                <w:color w:val="000000"/>
              </w:rPr>
              <w:t>Esporre il significato dell’espressione &lt;&lt;autonomia contrattuale&gt;&gt; e i relativi limiti;</w:t>
            </w:r>
          </w:p>
          <w:p w:rsidR="006B22E1" w:rsidRDefault="00000000">
            <w:pPr>
              <w:numPr>
                <w:ilvl w:val="0"/>
                <w:numId w:val="3"/>
              </w:numPr>
              <w:pBdr>
                <w:top w:val="nil"/>
                <w:left w:val="nil"/>
                <w:bottom w:val="nil"/>
                <w:right w:val="nil"/>
                <w:between w:val="nil"/>
              </w:pBdr>
            </w:pPr>
            <w:r>
              <w:rPr>
                <w:color w:val="000000"/>
              </w:rPr>
              <w:t>Classificare le fattispecie contrattuali</w:t>
            </w:r>
          </w:p>
          <w:p w:rsidR="006B22E1" w:rsidRDefault="006B22E1">
            <w:pPr>
              <w:pBdr>
                <w:top w:val="nil"/>
                <w:left w:val="nil"/>
                <w:bottom w:val="nil"/>
                <w:right w:val="nil"/>
                <w:between w:val="nil"/>
              </w:pBdr>
              <w:ind w:left="720" w:right="-109"/>
              <w:rPr>
                <w:color w:val="000000"/>
              </w:rPr>
            </w:pPr>
          </w:p>
          <w:p w:rsidR="006B22E1" w:rsidRDefault="006B22E1">
            <w:pPr>
              <w:pBdr>
                <w:top w:val="nil"/>
                <w:left w:val="nil"/>
                <w:bottom w:val="nil"/>
                <w:right w:val="nil"/>
                <w:between w:val="nil"/>
              </w:pBdr>
              <w:ind w:left="720" w:right="-109"/>
              <w:rPr>
                <w:color w:val="000000"/>
              </w:rPr>
            </w:pPr>
          </w:p>
          <w:p w:rsidR="006B22E1" w:rsidRDefault="006B22E1">
            <w:pPr>
              <w:pBdr>
                <w:top w:val="nil"/>
                <w:left w:val="nil"/>
                <w:bottom w:val="nil"/>
                <w:right w:val="nil"/>
                <w:between w:val="nil"/>
              </w:pBdr>
              <w:ind w:left="720" w:right="-109"/>
              <w:rPr>
                <w:color w:val="000000"/>
              </w:rPr>
            </w:pPr>
          </w:p>
        </w:tc>
      </w:tr>
      <w:tr w:rsidR="006B22E1">
        <w:trPr>
          <w:trHeight w:val="633"/>
          <w:jc w:val="center"/>
        </w:trPr>
        <w:tc>
          <w:tcPr>
            <w:tcW w:w="10497" w:type="dxa"/>
            <w:gridSpan w:val="2"/>
            <w:shd w:val="clear" w:color="auto" w:fill="002060"/>
            <w:vAlign w:val="center"/>
          </w:tcPr>
          <w:p w:rsidR="006B22E1" w:rsidRDefault="006B22E1"/>
          <w:p w:rsidR="006B22E1" w:rsidRDefault="006B22E1"/>
          <w:p w:rsidR="006B22E1" w:rsidRDefault="00000000">
            <w:pPr>
              <w:spacing w:before="60" w:after="60"/>
              <w:ind w:left="68" w:right="181"/>
              <w:jc w:val="center"/>
              <w:rPr>
                <w:b/>
                <w:smallCaps/>
                <w:sz w:val="28"/>
                <w:szCs w:val="28"/>
              </w:rPr>
            </w:pPr>
            <w:r>
              <w:rPr>
                <w:b/>
                <w:smallCaps/>
                <w:sz w:val="28"/>
                <w:szCs w:val="28"/>
              </w:rPr>
              <w:t>Conoscenze</w:t>
            </w:r>
          </w:p>
        </w:tc>
      </w:tr>
      <w:tr w:rsidR="006B22E1">
        <w:trPr>
          <w:trHeight w:val="951"/>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lastRenderedPageBreak/>
              <w:t xml:space="preserve">Conoscenze LLGG </w:t>
            </w:r>
          </w:p>
        </w:tc>
        <w:tc>
          <w:tcPr>
            <w:tcW w:w="7555" w:type="dxa"/>
            <w:vAlign w:val="center"/>
          </w:tcPr>
          <w:p w:rsidR="006B22E1" w:rsidRDefault="00000000">
            <w:pPr>
              <w:numPr>
                <w:ilvl w:val="0"/>
                <w:numId w:val="9"/>
              </w:numPr>
              <w:jc w:val="both"/>
            </w:pPr>
            <w:r>
              <w:t>Obbligazioni e disciplina giuridica del contratto</w:t>
            </w:r>
          </w:p>
          <w:p w:rsidR="006B22E1" w:rsidRDefault="00000000">
            <w:pPr>
              <w:numPr>
                <w:ilvl w:val="0"/>
                <w:numId w:val="9"/>
              </w:numPr>
              <w:jc w:val="both"/>
            </w:pPr>
            <w:r>
              <w:t>Particolari tipologie contrattuali</w:t>
            </w:r>
          </w:p>
          <w:p w:rsidR="006B22E1" w:rsidRDefault="006B22E1">
            <w:pPr>
              <w:numPr>
                <w:ilvl w:val="0"/>
                <w:numId w:val="9"/>
              </w:numPr>
              <w:jc w:val="both"/>
            </w:pPr>
          </w:p>
        </w:tc>
      </w:tr>
      <w:tr w:rsidR="006B22E1">
        <w:trPr>
          <w:trHeight w:val="585"/>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t>Conoscenze</w:t>
            </w:r>
          </w:p>
          <w:p w:rsidR="006B22E1" w:rsidRDefault="00000000">
            <w:pPr>
              <w:pStyle w:val="Titolo2"/>
              <w:jc w:val="center"/>
              <w:rPr>
                <w:rFonts w:ascii="Times New Roman" w:hAnsi="Times New Roman"/>
                <w:sz w:val="24"/>
                <w:szCs w:val="24"/>
              </w:rPr>
            </w:pPr>
            <w:r>
              <w:rPr>
                <w:rFonts w:ascii="Times New Roman" w:hAnsi="Times New Roman"/>
                <w:sz w:val="24"/>
                <w:szCs w:val="24"/>
              </w:rPr>
              <w:t>da formulare</w:t>
            </w:r>
          </w:p>
        </w:tc>
        <w:tc>
          <w:tcPr>
            <w:tcW w:w="7555" w:type="dxa"/>
            <w:vAlign w:val="center"/>
          </w:tcPr>
          <w:p w:rsidR="006B22E1" w:rsidRDefault="00000000">
            <w:pPr>
              <w:numPr>
                <w:ilvl w:val="0"/>
                <w:numId w:val="5"/>
              </w:numPr>
              <w:pBdr>
                <w:top w:val="nil"/>
                <w:left w:val="nil"/>
                <w:bottom w:val="nil"/>
                <w:right w:val="nil"/>
                <w:between w:val="nil"/>
              </w:pBdr>
              <w:ind w:right="282"/>
              <w:jc w:val="both"/>
            </w:pPr>
            <w:r>
              <w:rPr>
                <w:color w:val="000000"/>
              </w:rPr>
              <w:t>Fonti delle obbligazioni;</w:t>
            </w:r>
          </w:p>
          <w:p w:rsidR="006B22E1" w:rsidRDefault="00000000">
            <w:pPr>
              <w:numPr>
                <w:ilvl w:val="0"/>
                <w:numId w:val="5"/>
              </w:numPr>
              <w:pBdr>
                <w:top w:val="nil"/>
                <w:left w:val="nil"/>
                <w:bottom w:val="nil"/>
                <w:right w:val="nil"/>
                <w:between w:val="nil"/>
              </w:pBdr>
              <w:ind w:right="282"/>
              <w:jc w:val="both"/>
            </w:pPr>
            <w:r>
              <w:rPr>
                <w:color w:val="000000"/>
              </w:rPr>
              <w:t>Nozione di contratto: elementi essenziali e accidentali;</w:t>
            </w:r>
          </w:p>
          <w:p w:rsidR="006B22E1" w:rsidRDefault="00000000">
            <w:pPr>
              <w:numPr>
                <w:ilvl w:val="0"/>
                <w:numId w:val="5"/>
              </w:numPr>
              <w:pBdr>
                <w:top w:val="nil"/>
                <w:left w:val="nil"/>
                <w:bottom w:val="nil"/>
                <w:right w:val="nil"/>
                <w:between w:val="nil"/>
              </w:pBdr>
              <w:ind w:right="282"/>
              <w:jc w:val="both"/>
            </w:pPr>
            <w:r>
              <w:rPr>
                <w:color w:val="000000"/>
              </w:rPr>
              <w:t>Formazione e conclusione del contratto;</w:t>
            </w:r>
          </w:p>
          <w:p w:rsidR="006B22E1" w:rsidRDefault="00000000">
            <w:pPr>
              <w:numPr>
                <w:ilvl w:val="0"/>
                <w:numId w:val="5"/>
              </w:numPr>
              <w:pBdr>
                <w:top w:val="nil"/>
                <w:left w:val="nil"/>
                <w:bottom w:val="nil"/>
                <w:right w:val="nil"/>
                <w:between w:val="nil"/>
              </w:pBdr>
              <w:ind w:right="282"/>
              <w:jc w:val="both"/>
            </w:pPr>
            <w:r>
              <w:rPr>
                <w:color w:val="000000"/>
              </w:rPr>
              <w:t>Casi di invalidità e risoluzione del contratto;</w:t>
            </w:r>
          </w:p>
          <w:p w:rsidR="006B22E1" w:rsidRDefault="00000000">
            <w:pPr>
              <w:numPr>
                <w:ilvl w:val="0"/>
                <w:numId w:val="5"/>
              </w:numPr>
              <w:pBdr>
                <w:top w:val="nil"/>
                <w:left w:val="nil"/>
                <w:bottom w:val="nil"/>
                <w:right w:val="nil"/>
                <w:between w:val="nil"/>
              </w:pBdr>
              <w:ind w:right="282"/>
              <w:jc w:val="both"/>
            </w:pPr>
            <w:r>
              <w:rPr>
                <w:color w:val="000000"/>
              </w:rPr>
              <w:t>Contratto di compravendita e locazione;</w:t>
            </w:r>
          </w:p>
          <w:p w:rsidR="006B22E1" w:rsidRDefault="00000000">
            <w:pPr>
              <w:numPr>
                <w:ilvl w:val="0"/>
                <w:numId w:val="5"/>
              </w:numPr>
              <w:pBdr>
                <w:top w:val="nil"/>
                <w:left w:val="nil"/>
                <w:bottom w:val="nil"/>
                <w:right w:val="nil"/>
                <w:between w:val="nil"/>
              </w:pBdr>
              <w:ind w:right="282"/>
              <w:jc w:val="both"/>
            </w:pPr>
            <w:r>
              <w:rPr>
                <w:color w:val="000000"/>
              </w:rPr>
              <w:t>Contratto di mutuo, comodato e mandato</w:t>
            </w:r>
          </w:p>
        </w:tc>
      </w:tr>
      <w:tr w:rsidR="006B22E1">
        <w:trPr>
          <w:trHeight w:val="1600"/>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t>Contenuti disciplinari minimi</w:t>
            </w:r>
          </w:p>
        </w:tc>
        <w:tc>
          <w:tcPr>
            <w:tcW w:w="7555" w:type="dxa"/>
            <w:vAlign w:val="center"/>
          </w:tcPr>
          <w:p w:rsidR="006B22E1" w:rsidRDefault="00000000">
            <w:pPr>
              <w:numPr>
                <w:ilvl w:val="0"/>
                <w:numId w:val="9"/>
              </w:numPr>
              <w:jc w:val="both"/>
            </w:pPr>
            <w:r>
              <w:t xml:space="preserve">Diritti di obbligazione: nozione ed elementi, classificazione; </w:t>
            </w:r>
          </w:p>
          <w:p w:rsidR="006B22E1" w:rsidRDefault="00000000">
            <w:pPr>
              <w:numPr>
                <w:ilvl w:val="0"/>
                <w:numId w:val="9"/>
              </w:numPr>
              <w:jc w:val="both"/>
            </w:pPr>
            <w:r>
              <w:t xml:space="preserve">Contratto: nozione ed elementi, classificazione, forme di invalidità; </w:t>
            </w:r>
          </w:p>
          <w:p w:rsidR="006B22E1" w:rsidRDefault="006B22E1">
            <w:pPr>
              <w:ind w:left="720"/>
              <w:jc w:val="both"/>
            </w:pPr>
          </w:p>
        </w:tc>
      </w:tr>
    </w:tbl>
    <w:p w:rsidR="006B22E1" w:rsidRDefault="006B22E1"/>
    <w:p w:rsidR="006B22E1" w:rsidRDefault="006B22E1"/>
    <w:p w:rsidR="006B22E1" w:rsidRDefault="006B22E1"/>
    <w:p w:rsidR="006B22E1" w:rsidRDefault="006B22E1"/>
    <w:tbl>
      <w:tblPr>
        <w:tblStyle w:val="a0"/>
        <w:tblW w:w="99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57"/>
        <w:gridCol w:w="7"/>
        <w:gridCol w:w="1894"/>
        <w:gridCol w:w="1639"/>
        <w:gridCol w:w="11"/>
        <w:gridCol w:w="3636"/>
      </w:tblGrid>
      <w:tr w:rsidR="006B22E1">
        <w:trPr>
          <w:trHeight w:val="309"/>
        </w:trPr>
        <w:tc>
          <w:tcPr>
            <w:tcW w:w="2757" w:type="dxa"/>
            <w:tcBorders>
              <w:top w:val="single" w:sz="4" w:space="0" w:color="000000"/>
              <w:left w:val="single" w:sz="4" w:space="0" w:color="000000"/>
              <w:right w:val="single" w:sz="4" w:space="0" w:color="000000"/>
            </w:tcBorders>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lastRenderedPageBreak/>
              <w:t>Impegno Orario</w:t>
            </w:r>
          </w:p>
        </w:tc>
        <w:tc>
          <w:tcPr>
            <w:tcW w:w="1901"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ind w:left="170"/>
              <w:rPr>
                <w:sz w:val="20"/>
                <w:szCs w:val="20"/>
              </w:rPr>
            </w:pPr>
            <w:r>
              <w:rPr>
                <w:sz w:val="20"/>
                <w:szCs w:val="20"/>
              </w:rPr>
              <w:t xml:space="preserve">Durata in ore </w:t>
            </w:r>
          </w:p>
        </w:tc>
        <w:tc>
          <w:tcPr>
            <w:tcW w:w="5286" w:type="dxa"/>
            <w:gridSpan w:val="3"/>
            <w:tcBorders>
              <w:top w:val="single" w:sz="4" w:space="0" w:color="000000"/>
              <w:left w:val="single" w:sz="4" w:space="0" w:color="000000"/>
              <w:bottom w:val="single" w:sz="4" w:space="0" w:color="000000"/>
              <w:right w:val="single" w:sz="4" w:space="0" w:color="000000"/>
            </w:tcBorders>
            <w:vAlign w:val="center"/>
          </w:tcPr>
          <w:p w:rsidR="006B22E1" w:rsidRDefault="00000000">
            <w:pPr>
              <w:rPr>
                <w:sz w:val="20"/>
                <w:szCs w:val="20"/>
              </w:rPr>
            </w:pPr>
            <w:r>
              <w:rPr>
                <w:sz w:val="20"/>
                <w:szCs w:val="20"/>
              </w:rPr>
              <w:t>Ore 16 – modulo 1. Il contratto</w:t>
            </w:r>
          </w:p>
        </w:tc>
      </w:tr>
      <w:tr w:rsidR="006B22E1">
        <w:trPr>
          <w:trHeight w:val="705"/>
        </w:trPr>
        <w:tc>
          <w:tcPr>
            <w:tcW w:w="2757" w:type="dxa"/>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Metodi Formativi</w:t>
            </w:r>
          </w:p>
          <w:p w:rsidR="006B22E1" w:rsidRDefault="00000000">
            <w:pPr>
              <w:jc w:val="center"/>
              <w:rPr>
                <w:color w:val="FF0000"/>
                <w:sz w:val="20"/>
                <w:szCs w:val="20"/>
              </w:rPr>
            </w:pPr>
            <w:r>
              <w:rPr>
                <w:i/>
                <w:sz w:val="20"/>
                <w:szCs w:val="20"/>
              </w:rPr>
              <w:t>È  possibile selezionare più voci</w:t>
            </w:r>
          </w:p>
        </w:tc>
        <w:tc>
          <w:tcPr>
            <w:tcW w:w="3551" w:type="dxa"/>
            <w:gridSpan w:val="4"/>
            <w:tcBorders>
              <w:top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sz w:val="22"/>
                <w:szCs w:val="22"/>
              </w:rPr>
              <w:t>lezione frontale</w:t>
            </w:r>
          </w:p>
          <w:p w:rsidR="006B22E1"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esercitazioni</w:t>
            </w:r>
          </w:p>
          <w:p w:rsidR="006B22E1"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dialogo formativo</w:t>
            </w:r>
          </w:p>
          <w:p w:rsidR="006B22E1" w:rsidRDefault="00000000">
            <w:pPr>
              <w:rPr>
                <w:rFonts w:ascii="Garamond" w:eastAsia="Garamond" w:hAnsi="Garamond" w:cs="Garamond"/>
              </w:rPr>
            </w:pPr>
            <w:r>
              <w:rPr>
                <w:rFonts w:ascii="Wingdings" w:eastAsia="Wingdings" w:hAnsi="Wingdings" w:cs="Wingdings"/>
              </w:rPr>
              <w:t>⌧</w:t>
            </w:r>
            <w:r>
              <w:rPr>
                <w:sz w:val="22"/>
                <w:szCs w:val="22"/>
              </w:rPr>
              <w:t xml:space="preserve">  </w:t>
            </w:r>
            <w:r>
              <w:rPr>
                <w:rFonts w:ascii="Garamond" w:eastAsia="Garamond" w:hAnsi="Garamond" w:cs="Garamond"/>
              </w:rPr>
              <w:t>problem solving</w:t>
            </w:r>
          </w:p>
          <w:p w:rsidR="006B22E1" w:rsidRDefault="006B22E1">
            <w:pPr>
              <w:pBdr>
                <w:top w:val="nil"/>
                <w:left w:val="nil"/>
                <w:bottom w:val="nil"/>
                <w:right w:val="nil"/>
                <w:between w:val="nil"/>
              </w:pBdr>
              <w:ind w:left="720"/>
              <w:rPr>
                <w:color w:val="000000"/>
                <w:sz w:val="20"/>
                <w:szCs w:val="20"/>
              </w:rPr>
            </w:pPr>
          </w:p>
        </w:tc>
        <w:tc>
          <w:tcPr>
            <w:tcW w:w="3636" w:type="dxa"/>
            <w:tcBorders>
              <w:top w:val="single" w:sz="4" w:space="0" w:color="000000"/>
              <w:left w:val="single" w:sz="4" w:space="0" w:color="000000"/>
              <w:bottom w:val="single" w:sz="4" w:space="0" w:color="000000"/>
            </w:tcBorders>
            <w:vAlign w:val="center"/>
          </w:tcPr>
          <w:p w:rsidR="006B22E1" w:rsidRDefault="00000000">
            <w:pPr>
              <w:rPr>
                <w:rFonts w:ascii="Garamond" w:eastAsia="Garamond" w:hAnsi="Garamond" w:cs="Garamond"/>
              </w:rPr>
            </w:pPr>
            <w:r>
              <w:rPr>
                <w:rFonts w:ascii="Garamond" w:eastAsia="Garamond" w:hAnsi="Garamond" w:cs="Garamond"/>
              </w:rPr>
              <w:t>□ alternanza</w:t>
            </w:r>
          </w:p>
          <w:p w:rsidR="006B22E1" w:rsidRDefault="00000000">
            <w:pPr>
              <w:rPr>
                <w:rFonts w:ascii="Garamond" w:eastAsia="Garamond" w:hAnsi="Garamond" w:cs="Garamond"/>
              </w:rPr>
            </w:pPr>
            <w:r>
              <w:rPr>
                <w:rFonts w:ascii="Garamond" w:eastAsia="Garamond" w:hAnsi="Garamond" w:cs="Garamond"/>
              </w:rPr>
              <w:t>□ simulazione – virtual Lab</w:t>
            </w:r>
          </w:p>
          <w:p w:rsidR="006B22E1" w:rsidRDefault="00000000">
            <w:pPr>
              <w:rPr>
                <w:rFonts w:ascii="Garamond" w:eastAsia="Garamond" w:hAnsi="Garamond" w:cs="Garamond"/>
              </w:rPr>
            </w:pPr>
            <w:r>
              <w:rPr>
                <w:rFonts w:ascii="Garamond" w:eastAsia="Garamond" w:hAnsi="Garamond" w:cs="Garamond"/>
              </w:rPr>
              <w:t xml:space="preserve">□ e-learning </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percorso di autoapprendimento</w:t>
            </w:r>
          </w:p>
          <w:p w:rsidR="006B22E1" w:rsidRDefault="00000000">
            <w:pPr>
              <w:rPr>
                <w:rFonts w:ascii="Garamond" w:eastAsia="Garamond" w:hAnsi="Garamond" w:cs="Garamond"/>
              </w:rPr>
            </w:pPr>
            <w:r>
              <w:rPr>
                <w:rFonts w:ascii="Garamond" w:eastAsia="Garamond" w:hAnsi="Garamond" w:cs="Garamond"/>
              </w:rPr>
              <w:t>□ clil</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PCTO</w:t>
            </w:r>
          </w:p>
          <w:p w:rsidR="006B22E1" w:rsidRDefault="00000000">
            <w:pPr>
              <w:rPr>
                <w:i/>
                <w:sz w:val="20"/>
                <w:szCs w:val="20"/>
              </w:rPr>
            </w:pPr>
            <w:sdt>
              <w:sdtPr>
                <w:tag w:val="goog_rdk_0"/>
                <w:id w:val="-1925645407"/>
              </w:sdtPr>
              <w:sdtContent>
                <w:r>
                  <w:rPr>
                    <w:rFonts w:ascii="Cardo" w:eastAsia="Cardo" w:hAnsi="Cardo" w:cs="Cardo"/>
                  </w:rPr>
                  <w:t>⌧</w:t>
                </w:r>
              </w:sdtContent>
            </w:sdt>
            <w:r>
              <w:rPr>
                <w:rFonts w:ascii="Garamond" w:eastAsia="Garamond" w:hAnsi="Garamond" w:cs="Garamond"/>
              </w:rPr>
              <w:t xml:space="preserve"> Altro: lavoro di gruppo</w:t>
            </w:r>
          </w:p>
        </w:tc>
      </w:tr>
      <w:tr w:rsidR="006B22E1">
        <w:trPr>
          <w:trHeight w:val="456"/>
        </w:trPr>
        <w:tc>
          <w:tcPr>
            <w:tcW w:w="2757" w:type="dxa"/>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Mezzi, strumenti</w:t>
            </w:r>
          </w:p>
          <w:p w:rsidR="006B22E1" w:rsidRDefault="00000000">
            <w:pPr>
              <w:pStyle w:val="Titolo2"/>
              <w:jc w:val="center"/>
              <w:rPr>
                <w:rFonts w:ascii="Times New Roman" w:hAnsi="Times New Roman"/>
                <w:sz w:val="20"/>
                <w:szCs w:val="20"/>
              </w:rPr>
            </w:pPr>
            <w:r>
              <w:rPr>
                <w:rFonts w:ascii="Times New Roman" w:hAnsi="Times New Roman"/>
                <w:sz w:val="20"/>
                <w:szCs w:val="20"/>
              </w:rPr>
              <w:t>e sussidi</w:t>
            </w:r>
          </w:p>
        </w:tc>
        <w:tc>
          <w:tcPr>
            <w:tcW w:w="3551" w:type="dxa"/>
            <w:gridSpan w:val="4"/>
            <w:tcBorders>
              <w:top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PC</w:t>
            </w:r>
          </w:p>
          <w:p w:rsidR="006B22E1" w:rsidRDefault="00000000">
            <w:pPr>
              <w:rPr>
                <w:rFonts w:ascii="Garamond" w:eastAsia="Garamond" w:hAnsi="Garamond" w:cs="Garamond"/>
              </w:rPr>
            </w:pPr>
            <w:r>
              <w:rPr>
                <w:rFonts w:ascii="Garamond" w:eastAsia="Garamond" w:hAnsi="Garamond" w:cs="Garamond"/>
              </w:rPr>
              <w:t xml:space="preserve">     ○ Argo</w:t>
            </w:r>
          </w:p>
          <w:p w:rsidR="006B22E1" w:rsidRDefault="00000000">
            <w:pPr>
              <w:rPr>
                <w:rFonts w:ascii="Garamond" w:eastAsia="Garamond" w:hAnsi="Garamond" w:cs="Garamond"/>
              </w:rPr>
            </w:pPr>
            <w:r>
              <w:rPr>
                <w:rFonts w:ascii="Garamond" w:eastAsia="Garamond" w:hAnsi="Garamond" w:cs="Garamond"/>
              </w:rPr>
              <w:t xml:space="preserve">     ○ GSuite</w:t>
            </w:r>
          </w:p>
          <w:p w:rsidR="006B22E1" w:rsidRDefault="00000000">
            <w:pPr>
              <w:rPr>
                <w:rFonts w:ascii="Garamond" w:eastAsia="Garamond" w:hAnsi="Garamond" w:cs="Garamond"/>
              </w:rPr>
            </w:pPr>
            <w:r>
              <w:rPr>
                <w:rFonts w:ascii="Garamond" w:eastAsia="Garamond" w:hAnsi="Garamond" w:cs="Garamond"/>
              </w:rPr>
              <w:t xml:space="preserve">     ○ Meet</w:t>
            </w:r>
          </w:p>
          <w:p w:rsidR="006B22E1" w:rsidRDefault="00000000">
            <w:pPr>
              <w:rPr>
                <w:rFonts w:ascii="Garamond" w:eastAsia="Garamond" w:hAnsi="Garamond" w:cs="Garamond"/>
              </w:rPr>
            </w:pPr>
            <w:r>
              <w:rPr>
                <w:rFonts w:ascii="Garamond" w:eastAsia="Garamond" w:hAnsi="Garamond" w:cs="Garamond"/>
              </w:rPr>
              <w:t xml:space="preserve">     ○ Moduli Google</w:t>
            </w:r>
          </w:p>
          <w:p w:rsidR="006B22E1" w:rsidRDefault="00000000">
            <w:pPr>
              <w:rPr>
                <w:sz w:val="20"/>
                <w:szCs w:val="20"/>
              </w:rPr>
            </w:pPr>
            <w:r>
              <w:rPr>
                <w:rFonts w:ascii="Garamond" w:eastAsia="Garamond" w:hAnsi="Garamond" w:cs="Garamond"/>
              </w:rPr>
              <w:t xml:space="preserve"> </w:t>
            </w:r>
            <w:sdt>
              <w:sdtPr>
                <w:tag w:val="goog_rdk_1"/>
                <w:id w:val="-803766814"/>
              </w:sdtPr>
              <w:sdtContent>
                <w:r>
                  <w:rPr>
                    <w:rFonts w:ascii="Cardo" w:eastAsia="Cardo" w:hAnsi="Cardo" w:cs="Cardo"/>
                  </w:rPr>
                  <w:t>⌧</w:t>
                </w:r>
              </w:sdtContent>
            </w:sdt>
            <w:r>
              <w:rPr>
                <w:rFonts w:ascii="Garamond" w:eastAsia="Garamond" w:hAnsi="Garamond" w:cs="Garamond"/>
              </w:rPr>
              <w:t xml:space="preserve"> virtual - lab</w:t>
            </w:r>
          </w:p>
        </w:tc>
        <w:tc>
          <w:tcPr>
            <w:tcW w:w="3636" w:type="dxa"/>
            <w:tcBorders>
              <w:top w:val="single" w:sz="4" w:space="0" w:color="000000"/>
              <w:left w:val="single" w:sz="4" w:space="0" w:color="000000"/>
              <w:bottom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dispense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libro di testo</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pubblicazioni ed e-book</w:t>
            </w:r>
          </w:p>
          <w:p w:rsidR="006B22E1" w:rsidRDefault="00000000">
            <w:pPr>
              <w:rPr>
                <w:rFonts w:ascii="Garamond" w:eastAsia="Garamond" w:hAnsi="Garamond" w:cs="Garamond"/>
                <w:sz w:val="18"/>
                <w:szCs w:val="18"/>
              </w:rPr>
            </w:pPr>
            <w:r>
              <w:rPr>
                <w:rFonts w:ascii="Wingdings" w:eastAsia="Wingdings" w:hAnsi="Wingdings" w:cs="Wingdings"/>
              </w:rPr>
              <w:t>⌧</w:t>
            </w:r>
            <w:r>
              <w:rPr>
                <w:rFonts w:ascii="Garamond" w:eastAsia="Garamond" w:hAnsi="Garamond" w:cs="Garamond"/>
              </w:rPr>
              <w:t xml:space="preserve"> apparati multimediali</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Codice Civile</w:t>
            </w:r>
          </w:p>
          <w:p w:rsidR="006B22E1" w:rsidRDefault="00000000">
            <w:pPr>
              <w:rPr>
                <w:sz w:val="20"/>
                <w:szCs w:val="20"/>
              </w:rPr>
            </w:pPr>
            <w:sdt>
              <w:sdtPr>
                <w:tag w:val="goog_rdk_2"/>
                <w:id w:val="-1280561128"/>
              </w:sdtPr>
              <w:sdtContent>
                <w:r>
                  <w:rPr>
                    <w:rFonts w:ascii="Cardo" w:eastAsia="Cardo" w:hAnsi="Cardo" w:cs="Cardo"/>
                  </w:rPr>
                  <w:t>⌧</w:t>
                </w:r>
              </w:sdtContent>
            </w:sdt>
            <w:r>
              <w:rPr>
                <w:rFonts w:ascii="Garamond" w:eastAsia="Garamond" w:hAnsi="Garamond" w:cs="Garamond"/>
              </w:rPr>
              <w:t xml:space="preserve"> Codice della Navigazione</w:t>
            </w:r>
          </w:p>
        </w:tc>
      </w:tr>
      <w:tr w:rsidR="006B22E1">
        <w:trPr>
          <w:trHeight w:val="359"/>
        </w:trPr>
        <w:tc>
          <w:tcPr>
            <w:tcW w:w="9944" w:type="dxa"/>
            <w:gridSpan w:val="6"/>
            <w:shd w:val="clear" w:color="auto" w:fill="002060"/>
            <w:vAlign w:val="center"/>
          </w:tcPr>
          <w:p w:rsidR="006B22E1" w:rsidRDefault="00000000">
            <w:pPr>
              <w:pStyle w:val="Titolo2"/>
              <w:jc w:val="center"/>
              <w:rPr>
                <w:rFonts w:ascii="Times New Roman" w:hAnsi="Times New Roman"/>
                <w:smallCaps/>
                <w:sz w:val="20"/>
                <w:szCs w:val="20"/>
              </w:rPr>
            </w:pPr>
            <w:r>
              <w:rPr>
                <w:rFonts w:ascii="Times New Roman" w:hAnsi="Times New Roman"/>
                <w:smallCaps/>
                <w:sz w:val="20"/>
                <w:szCs w:val="20"/>
              </w:rPr>
              <w:t>Verifiche E Criteri Di Valutazione</w:t>
            </w:r>
          </w:p>
        </w:tc>
      </w:tr>
      <w:tr w:rsidR="006B22E1">
        <w:trPr>
          <w:trHeight w:val="837"/>
        </w:trPr>
        <w:tc>
          <w:tcPr>
            <w:tcW w:w="2764" w:type="dxa"/>
            <w:gridSpan w:val="2"/>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In itinere</w:t>
            </w:r>
          </w:p>
        </w:tc>
        <w:tc>
          <w:tcPr>
            <w:tcW w:w="3533" w:type="dxa"/>
            <w:gridSpan w:val="2"/>
            <w:tcBorders>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6B22E1" w:rsidRDefault="00000000">
            <w:pPr>
              <w:rPr>
                <w:rFonts w:ascii="Garamond" w:eastAsia="Garamond" w:hAnsi="Garamond" w:cs="Garamond"/>
              </w:rPr>
            </w:pP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griglie di osservazione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comprensione del testo</w:t>
            </w:r>
          </w:p>
          <w:p w:rsidR="006B22E1" w:rsidRDefault="00000000">
            <w:pPr>
              <w:rPr>
                <w:rFonts w:ascii="Garamond" w:eastAsia="Garamond" w:hAnsi="Garamond" w:cs="Garamond"/>
              </w:rPr>
            </w:pPr>
            <w:r>
              <w:rPr>
                <w:rFonts w:ascii="Garamond" w:eastAsia="Garamond" w:hAnsi="Garamond" w:cs="Garamond"/>
              </w:rPr>
              <w:t>□    prova di simulazione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verifica orale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6B22E1" w:rsidRDefault="006B22E1">
            <w:pPr>
              <w:rPr>
                <w:sz w:val="20"/>
                <w:szCs w:val="20"/>
              </w:rPr>
            </w:pPr>
          </w:p>
        </w:tc>
        <w:tc>
          <w:tcPr>
            <w:tcW w:w="3647" w:type="dxa"/>
            <w:gridSpan w:val="2"/>
            <w:vMerge w:val="restart"/>
            <w:tcBorders>
              <w:left w:val="single" w:sz="4" w:space="0" w:color="000000"/>
              <w:bottom w:val="single" w:sz="4" w:space="0" w:color="000000"/>
            </w:tcBorders>
            <w:vAlign w:val="center"/>
          </w:tcPr>
          <w:p w:rsidR="006B22E1" w:rsidRDefault="00000000">
            <w:pPr>
              <w:rPr>
                <w:rFonts w:ascii="Garamond" w:eastAsia="Garamond" w:hAnsi="Garamond" w:cs="Garamond"/>
              </w:rPr>
            </w:pPr>
            <w:r>
              <w:rPr>
                <w:noProof/>
              </w:rPr>
              <mc:AlternateContent>
                <mc:Choice Requires="wpg">
                  <w:drawing>
                    <wp:anchor distT="0" distB="0" distL="114300" distR="114300" simplePos="0" relativeHeight="251658240" behindDoc="0" locked="0" layoutInCell="1" hidden="0" allowOverlap="1">
                      <wp:simplePos x="0" y="0"/>
                      <wp:positionH relativeFrom="column">
                        <wp:posOffset>330200</wp:posOffset>
                      </wp:positionH>
                      <wp:positionV relativeFrom="paragraph">
                        <wp:posOffset>25400</wp:posOffset>
                      </wp:positionV>
                      <wp:extent cx="1591945" cy="285750"/>
                      <wp:effectExtent l="0" t="0" r="0" b="0"/>
                      <wp:wrapNone/>
                      <wp:docPr id="7" name="Rettangolo 7"/>
                      <wp:cNvGraphicFramePr/>
                      <a:graphic xmlns:a="http://schemas.openxmlformats.org/drawingml/2006/main">
                        <a:graphicData uri="http://schemas.microsoft.com/office/word/2010/wordprocessingShape">
                          <wps:wsp>
                            <wps:cNvSpPr/>
                            <wps:spPr>
                              <a:xfrm>
                                <a:off x="4554790" y="3641888"/>
                                <a:ext cx="1582420" cy="276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B22E1" w:rsidRDefault="00000000">
                                  <w:pPr>
                                    <w:textDirection w:val="btLr"/>
                                  </w:pPr>
                                  <w:r>
                                    <w:rPr>
                                      <w:color w:val="000000"/>
                                    </w:rPr>
                                    <w:t>Criteri di Valutazione</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330200</wp:posOffset>
                      </wp:positionH>
                      <wp:positionV relativeFrom="paragraph">
                        <wp:posOffset>25400</wp:posOffset>
                      </wp:positionV>
                      <wp:extent cx="1591945" cy="285750"/>
                      <wp:effectExtent b="0" l="0" r="0" t="0"/>
                      <wp:wrapNone/>
                      <wp:docPr id="7"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1591945" cy="285750"/>
                              </a:xfrm>
                              <a:prstGeom prst="rect"/>
                              <a:ln/>
                            </pic:spPr>
                          </pic:pic>
                        </a:graphicData>
                      </a:graphic>
                    </wp:anchor>
                  </w:drawing>
                </mc:Fallback>
              </mc:AlternateContent>
            </w:r>
          </w:p>
          <w:p w:rsidR="006B22E1" w:rsidRDefault="006B22E1">
            <w:pPr>
              <w:rPr>
                <w:rFonts w:ascii="Garamond" w:eastAsia="Garamond" w:hAnsi="Garamond" w:cs="Garamond"/>
              </w:rPr>
            </w:pPr>
          </w:p>
          <w:p w:rsidR="006B22E1" w:rsidRDefault="006B22E1">
            <w:pPr>
              <w:rPr>
                <w:rFonts w:ascii="Garamond" w:eastAsia="Garamond" w:hAnsi="Garamond" w:cs="Garamond"/>
              </w:rPr>
            </w:pPr>
          </w:p>
          <w:p w:rsidR="006B22E1" w:rsidRDefault="00000000">
            <w:pPr>
              <w:jc w:val="both"/>
              <w:rPr>
                <w:rFonts w:ascii="Garamond" w:eastAsia="Garamond" w:hAnsi="Garamond" w:cs="Garamond"/>
              </w:rPr>
            </w:pPr>
            <w:r>
              <w:rPr>
                <w:rFonts w:ascii="Garamond" w:eastAsia="Garamond" w:hAnsi="Garamond" w:cs="Garamond"/>
              </w:rPr>
              <w:t xml:space="preserve">I criteri di valutazione per le prove sono quelli riportati nel P.T.O.F.; </w:t>
            </w:r>
          </w:p>
          <w:p w:rsidR="006B22E1" w:rsidRDefault="00000000">
            <w:pPr>
              <w:jc w:val="both"/>
              <w:rPr>
                <w:rFonts w:ascii="Garamond" w:eastAsia="Garamond" w:hAnsi="Garamond" w:cs="Garamond"/>
              </w:rPr>
            </w:pPr>
            <w:r>
              <w:rPr>
                <w:rFonts w:ascii="Garamond" w:eastAsia="Garamond" w:hAnsi="Garamond" w:cs="Garamond"/>
              </w:rPr>
              <w:t>Nella valutazione finale si tiene conto del profitto, dell’impegno, della partecipazione attiva alle lezioni in presenza e/o in DDI, dei progressi compiuti dall’allievo nella sua attività di apprendimento.</w:t>
            </w:r>
          </w:p>
        </w:tc>
      </w:tr>
      <w:tr w:rsidR="006B22E1">
        <w:trPr>
          <w:trHeight w:val="2863"/>
        </w:trPr>
        <w:tc>
          <w:tcPr>
            <w:tcW w:w="2764" w:type="dxa"/>
            <w:gridSpan w:val="2"/>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Fine modulo</w:t>
            </w:r>
          </w:p>
        </w:tc>
        <w:tc>
          <w:tcPr>
            <w:tcW w:w="3533" w:type="dxa"/>
            <w:gridSpan w:val="2"/>
            <w:tcBorders>
              <w:top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Garamond" w:eastAsia="Garamond" w:hAnsi="Garamond" w:cs="Garamond"/>
              </w:rPr>
              <w:t>□ prova strutturata</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prova semistrutturata</w:t>
            </w:r>
          </w:p>
          <w:p w:rsidR="006B22E1" w:rsidRDefault="00000000">
            <w:pPr>
              <w:rPr>
                <w:rFonts w:ascii="Garamond" w:eastAsia="Garamond" w:hAnsi="Garamond" w:cs="Garamond"/>
              </w:rPr>
            </w:pPr>
            <w:r>
              <w:rPr>
                <w:rFonts w:ascii="Garamond" w:eastAsia="Garamond" w:hAnsi="Garamond" w:cs="Garamond"/>
              </w:rPr>
              <w:t>□  prova in laboratorio</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6B22E1" w:rsidRDefault="00000000">
            <w:pPr>
              <w:rPr>
                <w:rFonts w:ascii="Garamond" w:eastAsia="Garamond" w:hAnsi="Garamond" w:cs="Garamond"/>
              </w:rPr>
            </w:pPr>
            <w:r>
              <w:rPr>
                <w:rFonts w:ascii="Garamond" w:eastAsia="Garamond" w:hAnsi="Garamond" w:cs="Garamond"/>
                <w:i/>
              </w:rPr>
              <w:t xml:space="preserve">□  </w:t>
            </w:r>
            <w:r>
              <w:rPr>
                <w:rFonts w:ascii="Garamond" w:eastAsia="Garamond" w:hAnsi="Garamond" w:cs="Garamond"/>
              </w:rPr>
              <w:t>griglie di osservazione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comprensione del testo</w:t>
            </w:r>
          </w:p>
          <w:p w:rsidR="006B22E1" w:rsidRDefault="00000000">
            <w:pPr>
              <w:rPr>
                <w:rFonts w:ascii="Garamond" w:eastAsia="Garamond" w:hAnsi="Garamond" w:cs="Garamond"/>
              </w:rPr>
            </w:pPr>
            <w:r>
              <w:rPr>
                <w:rFonts w:ascii="Garamond" w:eastAsia="Garamond" w:hAnsi="Garamond" w:cs="Garamond"/>
              </w:rPr>
              <w:t>□  prova di simulazione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6B22E1" w:rsidRDefault="00000000">
            <w:pPr>
              <w:rPr>
                <w:sz w:val="20"/>
                <w:szCs w:val="20"/>
              </w:rPr>
            </w:pPr>
            <w:r>
              <w:rPr>
                <w:rFonts w:ascii="Garamond" w:eastAsia="Garamond" w:hAnsi="Garamond" w:cs="Garamond"/>
              </w:rPr>
              <w:t>□  elaborazioni grafiche</w:t>
            </w:r>
          </w:p>
        </w:tc>
        <w:tc>
          <w:tcPr>
            <w:tcW w:w="3647" w:type="dxa"/>
            <w:gridSpan w:val="2"/>
            <w:vMerge/>
            <w:tcBorders>
              <w:left w:val="single" w:sz="4" w:space="0" w:color="000000"/>
              <w:bottom w:val="single" w:sz="4" w:space="0" w:color="000000"/>
            </w:tcBorders>
            <w:vAlign w:val="center"/>
          </w:tcPr>
          <w:p w:rsidR="006B22E1" w:rsidRDefault="006B22E1">
            <w:pPr>
              <w:widowControl w:val="0"/>
              <w:pBdr>
                <w:top w:val="nil"/>
                <w:left w:val="nil"/>
                <w:bottom w:val="nil"/>
                <w:right w:val="nil"/>
                <w:between w:val="nil"/>
              </w:pBdr>
              <w:spacing w:line="276" w:lineRule="auto"/>
              <w:rPr>
                <w:sz w:val="20"/>
                <w:szCs w:val="20"/>
              </w:rPr>
            </w:pPr>
          </w:p>
        </w:tc>
      </w:tr>
      <w:tr w:rsidR="006B22E1">
        <w:trPr>
          <w:trHeight w:val="408"/>
        </w:trPr>
        <w:tc>
          <w:tcPr>
            <w:tcW w:w="2764" w:type="dxa"/>
            <w:gridSpan w:val="2"/>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 xml:space="preserve">Livelli minimi per le </w:t>
            </w:r>
          </w:p>
          <w:p w:rsidR="006B22E1" w:rsidRDefault="00000000">
            <w:pPr>
              <w:pStyle w:val="Titolo2"/>
              <w:jc w:val="center"/>
              <w:rPr>
                <w:rFonts w:ascii="Times New Roman" w:hAnsi="Times New Roman"/>
                <w:sz w:val="20"/>
                <w:szCs w:val="20"/>
              </w:rPr>
            </w:pPr>
            <w:r>
              <w:rPr>
                <w:rFonts w:ascii="Times New Roman" w:hAnsi="Times New Roman"/>
                <w:sz w:val="20"/>
                <w:szCs w:val="20"/>
              </w:rPr>
              <w:t>verifiche</w:t>
            </w:r>
          </w:p>
        </w:tc>
        <w:tc>
          <w:tcPr>
            <w:tcW w:w="7180" w:type="dxa"/>
            <w:gridSpan w:val="4"/>
            <w:tcBorders>
              <w:top w:val="single" w:sz="4" w:space="0" w:color="000000"/>
              <w:bottom w:val="single" w:sz="4" w:space="0" w:color="000000"/>
            </w:tcBorders>
            <w:vAlign w:val="center"/>
          </w:tcPr>
          <w:p w:rsidR="006B22E1" w:rsidRDefault="006B22E1">
            <w:pPr>
              <w:spacing w:line="276" w:lineRule="auto"/>
              <w:jc w:val="both"/>
              <w:rPr>
                <w:sz w:val="20"/>
                <w:szCs w:val="20"/>
              </w:rPr>
            </w:pPr>
          </w:p>
          <w:p w:rsidR="006B22E1" w:rsidRDefault="00000000">
            <w:pPr>
              <w:jc w:val="both"/>
              <w:rPr>
                <w:rFonts w:ascii="Garamond" w:eastAsia="Garamond" w:hAnsi="Garamond" w:cs="Garamond"/>
              </w:rPr>
            </w:pPr>
            <w:r>
              <w:rPr>
                <w:rFonts w:ascii="Garamond" w:eastAsia="Garamond" w:hAnsi="Garamond" w:cs="Garamond"/>
              </w:rPr>
              <w:t>Conoscenze ed abilità essenziali sui diritti di obbligazione e sul contratto.</w:t>
            </w:r>
          </w:p>
          <w:p w:rsidR="006B22E1" w:rsidRDefault="006B22E1">
            <w:pPr>
              <w:spacing w:line="276" w:lineRule="auto"/>
              <w:ind w:left="355"/>
              <w:jc w:val="both"/>
              <w:rPr>
                <w:sz w:val="20"/>
                <w:szCs w:val="20"/>
              </w:rPr>
            </w:pPr>
          </w:p>
        </w:tc>
      </w:tr>
      <w:tr w:rsidR="006B22E1">
        <w:trPr>
          <w:trHeight w:val="408"/>
        </w:trPr>
        <w:tc>
          <w:tcPr>
            <w:tcW w:w="2764" w:type="dxa"/>
            <w:gridSpan w:val="2"/>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 xml:space="preserve">Azioni di recupero e di </w:t>
            </w:r>
          </w:p>
          <w:p w:rsidR="006B22E1" w:rsidRDefault="00000000">
            <w:pPr>
              <w:pStyle w:val="Titolo2"/>
              <w:jc w:val="center"/>
              <w:rPr>
                <w:rFonts w:ascii="Times New Roman" w:hAnsi="Times New Roman"/>
                <w:sz w:val="20"/>
                <w:szCs w:val="20"/>
              </w:rPr>
            </w:pPr>
            <w:r>
              <w:rPr>
                <w:rFonts w:ascii="Times New Roman" w:hAnsi="Times New Roman"/>
                <w:sz w:val="20"/>
                <w:szCs w:val="20"/>
              </w:rPr>
              <w:t>approfondimento</w:t>
            </w:r>
          </w:p>
        </w:tc>
        <w:tc>
          <w:tcPr>
            <w:tcW w:w="7180" w:type="dxa"/>
            <w:gridSpan w:val="4"/>
            <w:vAlign w:val="center"/>
          </w:tcPr>
          <w:p w:rsidR="006B22E1" w:rsidRDefault="00000000">
            <w:pPr>
              <w:jc w:val="both"/>
              <w:rPr>
                <w:rFonts w:ascii="Garamond" w:eastAsia="Garamond" w:hAnsi="Garamond" w:cs="Garamond"/>
              </w:rPr>
            </w:pPr>
            <w:r>
              <w:rPr>
                <w:rFonts w:ascii="Garamond" w:eastAsia="Garamond" w:hAnsi="Garamond" w:cs="Garamond"/>
              </w:rPr>
              <w:t>Il recupero curriculare sarà costante al fine di favorire l’apprendimento degli alunni più fragili nonché il potenziamento di quelli più rispondenti; a seguito degli esiti del primo trimestre, nel mese di gennaio, verranno riesaminati le tematiche già svolte per consentire il recupero di chi ha riportato le insufficienze.</w:t>
            </w:r>
          </w:p>
          <w:p w:rsidR="006B22E1" w:rsidRDefault="00000000">
            <w:pPr>
              <w:tabs>
                <w:tab w:val="left" w:pos="9638"/>
              </w:tabs>
              <w:ind w:right="282"/>
              <w:jc w:val="both"/>
              <w:rPr>
                <w:sz w:val="20"/>
                <w:szCs w:val="20"/>
              </w:rPr>
            </w:pPr>
            <w:r>
              <w:rPr>
                <w:rFonts w:ascii="Garamond" w:eastAsia="Garamond" w:hAnsi="Garamond" w:cs="Garamond"/>
              </w:rPr>
              <w:t>L’approfondimento consisterà nella produzione di lavori di ricerca su tematiche particolarmente significative quali: la rappresentanza, i contratti di utilizzazione dell’aeromobile, la responsabilità extracontrattuale.</w:t>
            </w:r>
          </w:p>
        </w:tc>
      </w:tr>
    </w:tbl>
    <w:p w:rsidR="006B22E1" w:rsidRDefault="006B22E1"/>
    <w:p w:rsidR="006B22E1" w:rsidRDefault="006B22E1"/>
    <w:p w:rsidR="006B22E1" w:rsidRDefault="006B22E1"/>
    <w:p w:rsidR="006B22E1" w:rsidRDefault="006B22E1"/>
    <w:p w:rsidR="006B22E1" w:rsidRDefault="006B22E1"/>
    <w:p w:rsidR="006B22E1" w:rsidRDefault="006B22E1"/>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000000">
      <w:pPr>
        <w:rPr>
          <w:rFonts w:ascii="Garamond" w:eastAsia="Garamond" w:hAnsi="Garamond" w:cs="Garamond"/>
          <w:b/>
        </w:rPr>
      </w:pPr>
      <w:r>
        <w:rPr>
          <w:rFonts w:ascii="Garamond" w:eastAsia="Garamond" w:hAnsi="Garamond" w:cs="Garamond"/>
          <w:b/>
        </w:rPr>
        <w:t xml:space="preserve">MODULO N. 2     </w:t>
      </w:r>
      <w:r>
        <w:rPr>
          <w:rFonts w:ascii="Garamond" w:eastAsia="Garamond" w:hAnsi="Garamond" w:cs="Garamond"/>
          <w:b/>
        </w:rPr>
        <w:tab/>
        <w:t>Proprietà e possesso</w:t>
      </w:r>
    </w:p>
    <w:p w:rsidR="006B22E1" w:rsidRDefault="006B22E1">
      <w:pPr>
        <w:rPr>
          <w:rFonts w:ascii="Garamond" w:eastAsia="Garamond" w:hAnsi="Garamond" w:cs="Garamond"/>
          <w:b/>
        </w:rPr>
      </w:pPr>
    </w:p>
    <w:tbl>
      <w:tblPr>
        <w:tblStyle w:val="a1"/>
        <w:tblW w:w="1049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42"/>
        <w:gridCol w:w="7555"/>
      </w:tblGrid>
      <w:tr w:rsidR="006B22E1">
        <w:trPr>
          <w:trHeight w:val="1001"/>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t xml:space="preserve">Prerequisiti </w:t>
            </w:r>
          </w:p>
        </w:tc>
        <w:tc>
          <w:tcPr>
            <w:tcW w:w="7555" w:type="dxa"/>
            <w:vAlign w:val="center"/>
          </w:tcPr>
          <w:p w:rsidR="006B22E1" w:rsidRDefault="00000000">
            <w:pPr>
              <w:numPr>
                <w:ilvl w:val="0"/>
                <w:numId w:val="2"/>
              </w:numPr>
              <w:pBdr>
                <w:top w:val="nil"/>
                <w:left w:val="nil"/>
                <w:bottom w:val="nil"/>
                <w:right w:val="nil"/>
                <w:between w:val="nil"/>
              </w:pBdr>
              <w:jc w:val="both"/>
              <w:rPr>
                <w:rFonts w:ascii="Garamond" w:eastAsia="Garamond" w:hAnsi="Garamond" w:cs="Garamond"/>
                <w:color w:val="000000"/>
              </w:rPr>
            </w:pPr>
            <w:r>
              <w:rPr>
                <w:rFonts w:ascii="Garamond" w:eastAsia="Garamond" w:hAnsi="Garamond" w:cs="Garamond"/>
                <w:color w:val="000000"/>
              </w:rPr>
              <w:t>Saper leggere un testo giuridico</w:t>
            </w:r>
          </w:p>
          <w:p w:rsidR="006B22E1" w:rsidRDefault="00000000">
            <w:pPr>
              <w:numPr>
                <w:ilvl w:val="0"/>
                <w:numId w:val="2"/>
              </w:numPr>
              <w:pBdr>
                <w:top w:val="nil"/>
                <w:left w:val="nil"/>
                <w:bottom w:val="nil"/>
                <w:right w:val="nil"/>
                <w:between w:val="nil"/>
              </w:pBdr>
              <w:jc w:val="both"/>
              <w:rPr>
                <w:rFonts w:ascii="Garamond" w:eastAsia="Garamond" w:hAnsi="Garamond" w:cs="Garamond"/>
                <w:color w:val="000000"/>
              </w:rPr>
            </w:pPr>
            <w:r>
              <w:rPr>
                <w:rFonts w:ascii="Garamond" w:eastAsia="Garamond" w:hAnsi="Garamond" w:cs="Garamond"/>
                <w:color w:val="000000"/>
              </w:rPr>
              <w:t>Conoscere il concetto di norme e di diritto Civile</w:t>
            </w:r>
          </w:p>
          <w:p w:rsidR="006B22E1" w:rsidRDefault="006B22E1">
            <w:pPr>
              <w:pBdr>
                <w:top w:val="nil"/>
                <w:left w:val="nil"/>
                <w:bottom w:val="nil"/>
                <w:right w:val="nil"/>
                <w:between w:val="nil"/>
              </w:pBdr>
              <w:ind w:left="716"/>
              <w:jc w:val="both"/>
              <w:rPr>
                <w:rFonts w:ascii="Garamond" w:eastAsia="Garamond" w:hAnsi="Garamond" w:cs="Garamond"/>
                <w:color w:val="000000"/>
              </w:rPr>
            </w:pPr>
          </w:p>
        </w:tc>
      </w:tr>
      <w:tr w:rsidR="006B22E1">
        <w:trPr>
          <w:trHeight w:val="950"/>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t>Discipline coinvolte</w:t>
            </w:r>
          </w:p>
        </w:tc>
        <w:tc>
          <w:tcPr>
            <w:tcW w:w="7555" w:type="dxa"/>
            <w:vAlign w:val="center"/>
          </w:tcPr>
          <w:p w:rsidR="006B22E1" w:rsidRDefault="006B22E1">
            <w:pPr>
              <w:pBdr>
                <w:top w:val="nil"/>
                <w:left w:val="nil"/>
                <w:bottom w:val="nil"/>
                <w:right w:val="nil"/>
                <w:between w:val="nil"/>
              </w:pBdr>
              <w:ind w:left="720"/>
              <w:jc w:val="both"/>
              <w:rPr>
                <w:rFonts w:ascii="Garamond" w:eastAsia="Garamond" w:hAnsi="Garamond" w:cs="Garamond"/>
                <w:color w:val="000000"/>
              </w:rPr>
            </w:pPr>
          </w:p>
        </w:tc>
      </w:tr>
      <w:tr w:rsidR="006B22E1">
        <w:trPr>
          <w:trHeight w:val="540"/>
          <w:jc w:val="center"/>
        </w:trPr>
        <w:tc>
          <w:tcPr>
            <w:tcW w:w="10497" w:type="dxa"/>
            <w:gridSpan w:val="2"/>
            <w:shd w:val="clear" w:color="auto" w:fill="002060"/>
            <w:vAlign w:val="center"/>
          </w:tcPr>
          <w:p w:rsidR="006B22E1" w:rsidRDefault="00000000">
            <w:pPr>
              <w:ind w:left="68" w:right="181"/>
              <w:jc w:val="center"/>
              <w:rPr>
                <w:smallCaps/>
                <w:color w:val="0070C0"/>
                <w:sz w:val="28"/>
                <w:szCs w:val="28"/>
              </w:rPr>
            </w:pPr>
            <w:r>
              <w:rPr>
                <w:b/>
                <w:smallCaps/>
                <w:sz w:val="28"/>
                <w:szCs w:val="28"/>
              </w:rPr>
              <w:t>Abilità</w:t>
            </w:r>
          </w:p>
        </w:tc>
      </w:tr>
      <w:tr w:rsidR="006B22E1">
        <w:trPr>
          <w:trHeight w:val="885"/>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t xml:space="preserve">Abilità LLGG </w:t>
            </w:r>
          </w:p>
        </w:tc>
        <w:tc>
          <w:tcPr>
            <w:tcW w:w="7555" w:type="dxa"/>
            <w:tcBorders>
              <w:top w:val="single" w:sz="4" w:space="0" w:color="000000"/>
            </w:tcBorders>
            <w:vAlign w:val="center"/>
          </w:tcPr>
          <w:p w:rsidR="006B22E1" w:rsidRDefault="00000000">
            <w:pPr>
              <w:numPr>
                <w:ilvl w:val="0"/>
                <w:numId w:val="1"/>
              </w:numPr>
              <w:pBdr>
                <w:top w:val="nil"/>
                <w:left w:val="nil"/>
                <w:bottom w:val="nil"/>
                <w:right w:val="nil"/>
                <w:between w:val="nil"/>
              </w:pBdr>
              <w:spacing w:before="120"/>
              <w:ind w:right="181"/>
              <w:jc w:val="both"/>
              <w:rPr>
                <w:rFonts w:ascii="Garamond" w:eastAsia="Garamond" w:hAnsi="Garamond" w:cs="Garamond"/>
                <w:color w:val="000000"/>
              </w:rPr>
            </w:pPr>
            <w:r>
              <w:rPr>
                <w:rFonts w:ascii="Garamond" w:eastAsia="Garamond" w:hAnsi="Garamond" w:cs="Garamond"/>
                <w:color w:val="000000"/>
              </w:rPr>
              <w:t>Riconoscere e descrivere i diritti del soggetto sulle cose e sull’uso economico delle stesse</w:t>
            </w:r>
          </w:p>
          <w:p w:rsidR="006B22E1" w:rsidRDefault="00000000">
            <w:pPr>
              <w:numPr>
                <w:ilvl w:val="0"/>
                <w:numId w:val="1"/>
              </w:numPr>
              <w:pBdr>
                <w:top w:val="nil"/>
                <w:left w:val="nil"/>
                <w:bottom w:val="nil"/>
                <w:right w:val="nil"/>
                <w:between w:val="nil"/>
              </w:pBdr>
              <w:ind w:right="181"/>
              <w:jc w:val="both"/>
              <w:rPr>
                <w:rFonts w:ascii="Garamond" w:eastAsia="Garamond" w:hAnsi="Garamond" w:cs="Garamond"/>
                <w:color w:val="000000"/>
              </w:rPr>
            </w:pPr>
            <w:r>
              <w:rPr>
                <w:rFonts w:ascii="Garamond" w:eastAsia="Garamond" w:hAnsi="Garamond" w:cs="Garamond"/>
                <w:color w:val="000000"/>
              </w:rPr>
              <w:t>Individuare le diverse tipologie di azioni a favore della proprietà e del possesso</w:t>
            </w:r>
          </w:p>
          <w:p w:rsidR="006B22E1" w:rsidRDefault="006B22E1">
            <w:pPr>
              <w:pBdr>
                <w:top w:val="nil"/>
                <w:left w:val="nil"/>
                <w:bottom w:val="nil"/>
                <w:right w:val="nil"/>
                <w:between w:val="nil"/>
              </w:pBdr>
              <w:spacing w:after="120"/>
              <w:ind w:left="720" w:right="181"/>
              <w:jc w:val="both"/>
              <w:rPr>
                <w:color w:val="000000"/>
              </w:rPr>
            </w:pPr>
          </w:p>
        </w:tc>
      </w:tr>
      <w:tr w:rsidR="006B22E1">
        <w:trPr>
          <w:trHeight w:val="551"/>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t xml:space="preserve">Abilità </w:t>
            </w:r>
          </w:p>
          <w:p w:rsidR="006B22E1" w:rsidRDefault="00000000">
            <w:pPr>
              <w:pStyle w:val="Titolo2"/>
              <w:jc w:val="center"/>
              <w:rPr>
                <w:rFonts w:ascii="Times New Roman" w:hAnsi="Times New Roman"/>
                <w:sz w:val="24"/>
                <w:szCs w:val="24"/>
              </w:rPr>
            </w:pPr>
            <w:r>
              <w:rPr>
                <w:rFonts w:ascii="Times New Roman" w:hAnsi="Times New Roman"/>
                <w:sz w:val="24"/>
                <w:szCs w:val="24"/>
              </w:rPr>
              <w:t>da formulare</w:t>
            </w:r>
          </w:p>
        </w:tc>
        <w:tc>
          <w:tcPr>
            <w:tcW w:w="7555" w:type="dxa"/>
            <w:tcBorders>
              <w:top w:val="single" w:sz="4" w:space="0" w:color="000000"/>
            </w:tcBorders>
            <w:vAlign w:val="center"/>
          </w:tcPr>
          <w:p w:rsidR="006B22E1" w:rsidRDefault="006B22E1">
            <w:pPr>
              <w:pBdr>
                <w:top w:val="nil"/>
                <w:left w:val="nil"/>
                <w:bottom w:val="nil"/>
                <w:right w:val="nil"/>
                <w:between w:val="nil"/>
              </w:pBdr>
              <w:ind w:left="720"/>
              <w:rPr>
                <w:color w:val="000000"/>
              </w:rPr>
            </w:pPr>
          </w:p>
          <w:p w:rsidR="006B22E1" w:rsidRDefault="00000000">
            <w:pPr>
              <w:numPr>
                <w:ilvl w:val="0"/>
                <w:numId w:val="3"/>
              </w:numPr>
              <w:pBdr>
                <w:top w:val="nil"/>
                <w:left w:val="nil"/>
                <w:bottom w:val="nil"/>
                <w:right w:val="nil"/>
                <w:between w:val="nil"/>
              </w:pBdr>
              <w:rPr>
                <w:rFonts w:ascii="Garamond" w:eastAsia="Garamond" w:hAnsi="Garamond" w:cs="Garamond"/>
                <w:color w:val="000000"/>
              </w:rPr>
            </w:pPr>
            <w:r>
              <w:rPr>
                <w:rFonts w:ascii="Garamond" w:eastAsia="Garamond" w:hAnsi="Garamond" w:cs="Garamond"/>
                <w:color w:val="000000"/>
              </w:rPr>
              <w:t>Saper individuare la fattispecie dei diritti reali</w:t>
            </w:r>
          </w:p>
          <w:p w:rsidR="006B22E1" w:rsidRDefault="00000000">
            <w:pPr>
              <w:numPr>
                <w:ilvl w:val="0"/>
                <w:numId w:val="3"/>
              </w:numPr>
              <w:pBdr>
                <w:top w:val="nil"/>
                <w:left w:val="nil"/>
                <w:bottom w:val="nil"/>
                <w:right w:val="nil"/>
                <w:between w:val="nil"/>
              </w:pBdr>
              <w:rPr>
                <w:rFonts w:ascii="Garamond" w:eastAsia="Garamond" w:hAnsi="Garamond" w:cs="Garamond"/>
                <w:color w:val="000000"/>
              </w:rPr>
            </w:pPr>
            <w:r>
              <w:rPr>
                <w:rFonts w:ascii="Garamond" w:eastAsia="Garamond" w:hAnsi="Garamond" w:cs="Garamond"/>
                <w:color w:val="000000"/>
              </w:rPr>
              <w:t>Individuare la disciplina della proprietà</w:t>
            </w:r>
          </w:p>
          <w:p w:rsidR="006B22E1" w:rsidRDefault="00000000">
            <w:pPr>
              <w:numPr>
                <w:ilvl w:val="0"/>
                <w:numId w:val="3"/>
              </w:numPr>
              <w:pBdr>
                <w:top w:val="nil"/>
                <w:left w:val="nil"/>
                <w:bottom w:val="nil"/>
                <w:right w:val="nil"/>
                <w:between w:val="nil"/>
              </w:pBdr>
              <w:rPr>
                <w:rFonts w:ascii="Garamond" w:eastAsia="Garamond" w:hAnsi="Garamond" w:cs="Garamond"/>
                <w:color w:val="000000"/>
              </w:rPr>
            </w:pPr>
            <w:r>
              <w:rPr>
                <w:rFonts w:ascii="Garamond" w:eastAsia="Garamond" w:hAnsi="Garamond" w:cs="Garamond"/>
                <w:color w:val="000000"/>
              </w:rPr>
              <w:t xml:space="preserve">Descrivere gli elementi essenziali dei diritti reali e della proprietà </w:t>
            </w:r>
          </w:p>
          <w:p w:rsidR="006B22E1" w:rsidRDefault="00000000">
            <w:pPr>
              <w:numPr>
                <w:ilvl w:val="0"/>
                <w:numId w:val="3"/>
              </w:numPr>
              <w:pBdr>
                <w:top w:val="nil"/>
                <w:left w:val="nil"/>
                <w:bottom w:val="nil"/>
                <w:right w:val="nil"/>
                <w:between w:val="nil"/>
              </w:pBdr>
              <w:rPr>
                <w:rFonts w:ascii="Garamond" w:eastAsia="Garamond" w:hAnsi="Garamond" w:cs="Garamond"/>
                <w:color w:val="000000"/>
              </w:rPr>
            </w:pPr>
            <w:r>
              <w:rPr>
                <w:rFonts w:ascii="Garamond" w:eastAsia="Garamond" w:hAnsi="Garamond" w:cs="Garamond"/>
                <w:color w:val="000000"/>
              </w:rPr>
              <w:t>Saper distinguere tra situazioni di diritto e situazioni di fatto: proprietà e possesso</w:t>
            </w:r>
          </w:p>
          <w:p w:rsidR="006B22E1" w:rsidRDefault="00000000">
            <w:pPr>
              <w:numPr>
                <w:ilvl w:val="0"/>
                <w:numId w:val="3"/>
              </w:numPr>
              <w:pBdr>
                <w:top w:val="nil"/>
                <w:left w:val="nil"/>
                <w:bottom w:val="nil"/>
                <w:right w:val="nil"/>
                <w:between w:val="nil"/>
              </w:pBdr>
              <w:rPr>
                <w:rFonts w:ascii="Garamond" w:eastAsia="Garamond" w:hAnsi="Garamond" w:cs="Garamond"/>
                <w:color w:val="000000"/>
              </w:rPr>
            </w:pPr>
            <w:r>
              <w:rPr>
                <w:rFonts w:ascii="Garamond" w:eastAsia="Garamond" w:hAnsi="Garamond" w:cs="Garamond"/>
                <w:color w:val="000000"/>
              </w:rPr>
              <w:t xml:space="preserve">Saper individuare le azioni a tutela della proprietà e del possesso </w:t>
            </w:r>
          </w:p>
          <w:p w:rsidR="006B22E1" w:rsidRDefault="006B22E1">
            <w:pPr>
              <w:pBdr>
                <w:top w:val="nil"/>
                <w:left w:val="nil"/>
                <w:bottom w:val="nil"/>
                <w:right w:val="nil"/>
                <w:between w:val="nil"/>
              </w:pBdr>
              <w:ind w:left="720" w:right="-109"/>
              <w:rPr>
                <w:rFonts w:ascii="Garamond" w:eastAsia="Garamond" w:hAnsi="Garamond" w:cs="Garamond"/>
                <w:color w:val="000000"/>
              </w:rPr>
            </w:pPr>
          </w:p>
          <w:p w:rsidR="006B22E1" w:rsidRDefault="006B22E1">
            <w:pPr>
              <w:pBdr>
                <w:top w:val="nil"/>
                <w:left w:val="nil"/>
                <w:bottom w:val="nil"/>
                <w:right w:val="nil"/>
                <w:between w:val="nil"/>
              </w:pBdr>
              <w:ind w:left="720" w:right="282"/>
              <w:jc w:val="both"/>
              <w:rPr>
                <w:rFonts w:ascii="Garamond" w:eastAsia="Garamond" w:hAnsi="Garamond" w:cs="Garamond"/>
                <w:color w:val="000000"/>
              </w:rPr>
            </w:pPr>
          </w:p>
          <w:p w:rsidR="006B22E1" w:rsidRDefault="006B22E1">
            <w:pPr>
              <w:pBdr>
                <w:top w:val="nil"/>
                <w:left w:val="nil"/>
                <w:bottom w:val="nil"/>
                <w:right w:val="nil"/>
                <w:between w:val="nil"/>
              </w:pBdr>
              <w:ind w:left="720" w:right="282"/>
              <w:jc w:val="both"/>
              <w:rPr>
                <w:rFonts w:ascii="Garamond" w:eastAsia="Garamond" w:hAnsi="Garamond" w:cs="Garamond"/>
                <w:color w:val="000000"/>
              </w:rPr>
            </w:pPr>
          </w:p>
          <w:p w:rsidR="006B22E1" w:rsidRDefault="006B22E1">
            <w:pPr>
              <w:pBdr>
                <w:top w:val="nil"/>
                <w:left w:val="nil"/>
                <w:bottom w:val="nil"/>
                <w:right w:val="nil"/>
                <w:between w:val="nil"/>
              </w:pBdr>
              <w:ind w:left="720" w:right="282"/>
              <w:jc w:val="both"/>
              <w:rPr>
                <w:color w:val="000000"/>
              </w:rPr>
            </w:pPr>
          </w:p>
          <w:p w:rsidR="006B22E1" w:rsidRDefault="006B22E1">
            <w:pPr>
              <w:pBdr>
                <w:top w:val="nil"/>
                <w:left w:val="nil"/>
                <w:bottom w:val="nil"/>
                <w:right w:val="nil"/>
                <w:between w:val="nil"/>
              </w:pBdr>
              <w:ind w:left="720" w:right="282"/>
              <w:jc w:val="both"/>
              <w:rPr>
                <w:color w:val="000000"/>
              </w:rPr>
            </w:pPr>
          </w:p>
        </w:tc>
      </w:tr>
      <w:tr w:rsidR="006B22E1">
        <w:trPr>
          <w:trHeight w:val="633"/>
          <w:jc w:val="center"/>
        </w:trPr>
        <w:tc>
          <w:tcPr>
            <w:tcW w:w="10497" w:type="dxa"/>
            <w:gridSpan w:val="2"/>
            <w:shd w:val="clear" w:color="auto" w:fill="002060"/>
            <w:vAlign w:val="center"/>
          </w:tcPr>
          <w:p w:rsidR="006B22E1" w:rsidRDefault="006B22E1"/>
          <w:p w:rsidR="006B22E1" w:rsidRDefault="006B22E1">
            <w:pPr>
              <w:spacing w:before="60" w:after="60"/>
              <w:ind w:left="68" w:right="181"/>
              <w:jc w:val="center"/>
              <w:rPr>
                <w:b/>
                <w:smallCaps/>
                <w:sz w:val="28"/>
                <w:szCs w:val="28"/>
              </w:rPr>
            </w:pPr>
          </w:p>
          <w:p w:rsidR="006B22E1" w:rsidRDefault="006B22E1">
            <w:pPr>
              <w:spacing w:before="60" w:after="60"/>
              <w:ind w:left="68" w:right="181"/>
              <w:jc w:val="center"/>
              <w:rPr>
                <w:b/>
                <w:smallCaps/>
                <w:sz w:val="28"/>
                <w:szCs w:val="28"/>
              </w:rPr>
            </w:pPr>
          </w:p>
          <w:p w:rsidR="006B22E1" w:rsidRDefault="006B22E1">
            <w:pPr>
              <w:spacing w:before="60" w:after="60"/>
              <w:ind w:left="68" w:right="181"/>
              <w:jc w:val="center"/>
              <w:rPr>
                <w:b/>
                <w:smallCaps/>
                <w:sz w:val="28"/>
                <w:szCs w:val="28"/>
              </w:rPr>
            </w:pPr>
          </w:p>
          <w:p w:rsidR="006B22E1" w:rsidRDefault="00000000">
            <w:pPr>
              <w:spacing w:before="60" w:after="60"/>
              <w:ind w:left="68" w:right="181"/>
              <w:jc w:val="center"/>
              <w:rPr>
                <w:b/>
                <w:smallCaps/>
                <w:sz w:val="28"/>
                <w:szCs w:val="28"/>
              </w:rPr>
            </w:pPr>
            <w:r>
              <w:rPr>
                <w:b/>
                <w:smallCaps/>
                <w:sz w:val="28"/>
                <w:szCs w:val="28"/>
              </w:rPr>
              <w:t>Conoscenze</w:t>
            </w:r>
          </w:p>
        </w:tc>
      </w:tr>
      <w:tr w:rsidR="006B22E1">
        <w:trPr>
          <w:trHeight w:val="951"/>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lastRenderedPageBreak/>
              <w:t xml:space="preserve">Conoscenze LLGG </w:t>
            </w:r>
          </w:p>
        </w:tc>
        <w:tc>
          <w:tcPr>
            <w:tcW w:w="7555" w:type="dxa"/>
            <w:vAlign w:val="center"/>
          </w:tcPr>
          <w:p w:rsidR="006B22E1" w:rsidRDefault="00000000">
            <w:pPr>
              <w:numPr>
                <w:ilvl w:val="0"/>
                <w:numId w:val="9"/>
              </w:numPr>
              <w:jc w:val="both"/>
              <w:rPr>
                <w:rFonts w:ascii="Garamond" w:eastAsia="Garamond" w:hAnsi="Garamond" w:cs="Garamond"/>
              </w:rPr>
            </w:pPr>
            <w:r>
              <w:rPr>
                <w:rFonts w:ascii="Garamond" w:eastAsia="Garamond" w:hAnsi="Garamond" w:cs="Garamond"/>
              </w:rPr>
              <w:t>Diritto di proprietà e diritti reali</w:t>
            </w:r>
          </w:p>
          <w:p w:rsidR="006B22E1" w:rsidRDefault="00000000">
            <w:pPr>
              <w:numPr>
                <w:ilvl w:val="0"/>
                <w:numId w:val="9"/>
              </w:numPr>
              <w:jc w:val="both"/>
              <w:rPr>
                <w:rFonts w:ascii="Garamond" w:eastAsia="Garamond" w:hAnsi="Garamond" w:cs="Garamond"/>
              </w:rPr>
            </w:pPr>
            <w:r>
              <w:rPr>
                <w:rFonts w:ascii="Garamond" w:eastAsia="Garamond" w:hAnsi="Garamond" w:cs="Garamond"/>
              </w:rPr>
              <w:t>Possesso</w:t>
            </w:r>
          </w:p>
          <w:p w:rsidR="006B22E1" w:rsidRDefault="00000000">
            <w:pPr>
              <w:numPr>
                <w:ilvl w:val="0"/>
                <w:numId w:val="9"/>
              </w:numPr>
              <w:jc w:val="both"/>
              <w:rPr>
                <w:rFonts w:ascii="Garamond" w:eastAsia="Garamond" w:hAnsi="Garamond" w:cs="Garamond"/>
              </w:rPr>
            </w:pPr>
            <w:r>
              <w:rPr>
                <w:rFonts w:ascii="Garamond" w:eastAsia="Garamond" w:hAnsi="Garamond" w:cs="Garamond"/>
              </w:rPr>
              <w:t xml:space="preserve">Azioni a difesa della proprietà e del possesso </w:t>
            </w:r>
          </w:p>
        </w:tc>
      </w:tr>
      <w:tr w:rsidR="006B22E1">
        <w:trPr>
          <w:trHeight w:val="585"/>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t>Conoscenze</w:t>
            </w:r>
          </w:p>
          <w:p w:rsidR="006B22E1" w:rsidRDefault="00000000">
            <w:pPr>
              <w:pStyle w:val="Titolo2"/>
              <w:jc w:val="center"/>
              <w:rPr>
                <w:rFonts w:ascii="Times New Roman" w:hAnsi="Times New Roman"/>
                <w:sz w:val="24"/>
                <w:szCs w:val="24"/>
              </w:rPr>
            </w:pPr>
            <w:r>
              <w:rPr>
                <w:rFonts w:ascii="Times New Roman" w:hAnsi="Times New Roman"/>
                <w:sz w:val="24"/>
                <w:szCs w:val="24"/>
              </w:rPr>
              <w:t>da formulare</w:t>
            </w:r>
          </w:p>
        </w:tc>
        <w:tc>
          <w:tcPr>
            <w:tcW w:w="7555" w:type="dxa"/>
            <w:vAlign w:val="center"/>
          </w:tcPr>
          <w:p w:rsidR="006B22E1" w:rsidRDefault="00000000">
            <w:pPr>
              <w:numPr>
                <w:ilvl w:val="0"/>
                <w:numId w:val="5"/>
              </w:numPr>
              <w:pBdr>
                <w:top w:val="nil"/>
                <w:left w:val="nil"/>
                <w:bottom w:val="nil"/>
                <w:right w:val="nil"/>
                <w:between w:val="nil"/>
              </w:pBdr>
              <w:ind w:right="282"/>
              <w:jc w:val="both"/>
              <w:rPr>
                <w:rFonts w:ascii="Garamond" w:eastAsia="Garamond" w:hAnsi="Garamond" w:cs="Garamond"/>
                <w:color w:val="000000"/>
              </w:rPr>
            </w:pPr>
            <w:r>
              <w:rPr>
                <w:rFonts w:ascii="Garamond" w:eastAsia="Garamond" w:hAnsi="Garamond" w:cs="Garamond"/>
                <w:color w:val="000000"/>
              </w:rPr>
              <w:t>I diritti reali su cosa propria: proprietà e comproprietà e relative facoltà</w:t>
            </w:r>
          </w:p>
          <w:p w:rsidR="006B22E1" w:rsidRDefault="00000000">
            <w:pPr>
              <w:numPr>
                <w:ilvl w:val="0"/>
                <w:numId w:val="5"/>
              </w:numPr>
              <w:pBdr>
                <w:top w:val="nil"/>
                <w:left w:val="nil"/>
                <w:bottom w:val="nil"/>
                <w:right w:val="nil"/>
                <w:between w:val="nil"/>
              </w:pBdr>
              <w:ind w:right="282"/>
              <w:jc w:val="both"/>
              <w:rPr>
                <w:rFonts w:ascii="Garamond" w:eastAsia="Garamond" w:hAnsi="Garamond" w:cs="Garamond"/>
                <w:color w:val="000000"/>
              </w:rPr>
            </w:pPr>
            <w:r>
              <w:rPr>
                <w:rFonts w:ascii="Garamond" w:eastAsia="Garamond" w:hAnsi="Garamond" w:cs="Garamond"/>
                <w:color w:val="000000"/>
              </w:rPr>
              <w:t>Caratteristiche del diritto di proprietà: assolutezza, immediatezza, pienezza, elasticità, esclusività, imprescrittibilità, tipicità e patrimonialità</w:t>
            </w:r>
          </w:p>
          <w:p w:rsidR="006B22E1" w:rsidRDefault="00000000">
            <w:pPr>
              <w:numPr>
                <w:ilvl w:val="0"/>
                <w:numId w:val="5"/>
              </w:numPr>
              <w:pBdr>
                <w:top w:val="nil"/>
                <w:left w:val="nil"/>
                <w:bottom w:val="nil"/>
                <w:right w:val="nil"/>
                <w:between w:val="nil"/>
              </w:pBdr>
              <w:ind w:right="282"/>
              <w:jc w:val="both"/>
              <w:rPr>
                <w:rFonts w:ascii="Garamond" w:eastAsia="Garamond" w:hAnsi="Garamond" w:cs="Garamond"/>
                <w:color w:val="000000"/>
              </w:rPr>
            </w:pPr>
            <w:r>
              <w:rPr>
                <w:rFonts w:ascii="Garamond" w:eastAsia="Garamond" w:hAnsi="Garamond" w:cs="Garamond"/>
                <w:color w:val="000000"/>
              </w:rPr>
              <w:t>Diritti reali su cosa altrui: di godimento e di garanzia – pegno, ipoteca</w:t>
            </w:r>
          </w:p>
          <w:p w:rsidR="006B22E1" w:rsidRDefault="00000000">
            <w:pPr>
              <w:numPr>
                <w:ilvl w:val="0"/>
                <w:numId w:val="5"/>
              </w:numPr>
              <w:pBdr>
                <w:top w:val="nil"/>
                <w:left w:val="nil"/>
                <w:bottom w:val="nil"/>
                <w:right w:val="nil"/>
                <w:between w:val="nil"/>
              </w:pBdr>
              <w:ind w:right="282"/>
              <w:jc w:val="both"/>
              <w:rPr>
                <w:rFonts w:ascii="Garamond" w:eastAsia="Garamond" w:hAnsi="Garamond" w:cs="Garamond"/>
                <w:color w:val="000000"/>
              </w:rPr>
            </w:pPr>
            <w:r>
              <w:rPr>
                <w:rFonts w:ascii="Garamond" w:eastAsia="Garamond" w:hAnsi="Garamond" w:cs="Garamond"/>
                <w:color w:val="000000"/>
              </w:rPr>
              <w:t>Modi di acquisto a titolo originario: occupazione, invenzione, accessione, unione e commistione, specificazione e usucapione</w:t>
            </w:r>
          </w:p>
          <w:p w:rsidR="006B22E1" w:rsidRDefault="00000000">
            <w:pPr>
              <w:numPr>
                <w:ilvl w:val="0"/>
                <w:numId w:val="5"/>
              </w:numPr>
              <w:pBdr>
                <w:top w:val="nil"/>
                <w:left w:val="nil"/>
                <w:bottom w:val="nil"/>
                <w:right w:val="nil"/>
                <w:between w:val="nil"/>
              </w:pBdr>
              <w:ind w:right="282"/>
              <w:jc w:val="both"/>
              <w:rPr>
                <w:rFonts w:ascii="Garamond" w:eastAsia="Garamond" w:hAnsi="Garamond" w:cs="Garamond"/>
                <w:color w:val="000000"/>
              </w:rPr>
            </w:pPr>
            <w:r>
              <w:rPr>
                <w:rFonts w:ascii="Garamond" w:eastAsia="Garamond" w:hAnsi="Garamond" w:cs="Garamond"/>
                <w:color w:val="000000"/>
              </w:rPr>
              <w:t>Modi di acquisto a titolo derivativo: compravendita, donazione, successione ereditaria</w:t>
            </w:r>
          </w:p>
          <w:p w:rsidR="006B22E1" w:rsidRDefault="00000000">
            <w:pPr>
              <w:numPr>
                <w:ilvl w:val="0"/>
                <w:numId w:val="5"/>
              </w:numPr>
              <w:pBdr>
                <w:top w:val="nil"/>
                <w:left w:val="nil"/>
                <w:bottom w:val="nil"/>
                <w:right w:val="nil"/>
                <w:between w:val="nil"/>
              </w:pBdr>
              <w:ind w:right="282"/>
              <w:jc w:val="both"/>
              <w:rPr>
                <w:rFonts w:ascii="Garamond" w:eastAsia="Garamond" w:hAnsi="Garamond" w:cs="Garamond"/>
                <w:color w:val="000000"/>
              </w:rPr>
            </w:pPr>
            <w:r>
              <w:rPr>
                <w:rFonts w:ascii="Garamond" w:eastAsia="Garamond" w:hAnsi="Garamond" w:cs="Garamond"/>
                <w:color w:val="000000"/>
              </w:rPr>
              <w:t>Azioni petitorie: di rivendicazione, negatoria, di regolamento di confini e apposizione di termini</w:t>
            </w:r>
          </w:p>
          <w:p w:rsidR="006B22E1" w:rsidRDefault="00000000">
            <w:pPr>
              <w:numPr>
                <w:ilvl w:val="0"/>
                <w:numId w:val="5"/>
              </w:numPr>
              <w:pBdr>
                <w:top w:val="nil"/>
                <w:left w:val="nil"/>
                <w:bottom w:val="nil"/>
                <w:right w:val="nil"/>
                <w:between w:val="nil"/>
              </w:pBdr>
              <w:ind w:right="282"/>
              <w:jc w:val="both"/>
              <w:rPr>
                <w:rFonts w:ascii="Garamond" w:eastAsia="Garamond" w:hAnsi="Garamond" w:cs="Garamond"/>
                <w:color w:val="000000"/>
              </w:rPr>
            </w:pPr>
            <w:r>
              <w:rPr>
                <w:rFonts w:ascii="Garamond" w:eastAsia="Garamond" w:hAnsi="Garamond" w:cs="Garamond"/>
                <w:color w:val="000000"/>
              </w:rPr>
              <w:t>Possesso: suoi elementi e qualificazioni</w:t>
            </w:r>
          </w:p>
          <w:p w:rsidR="006B22E1" w:rsidRDefault="00000000">
            <w:pPr>
              <w:numPr>
                <w:ilvl w:val="0"/>
                <w:numId w:val="5"/>
              </w:numPr>
              <w:pBdr>
                <w:top w:val="nil"/>
                <w:left w:val="nil"/>
                <w:bottom w:val="nil"/>
                <w:right w:val="nil"/>
                <w:between w:val="nil"/>
              </w:pBdr>
              <w:ind w:right="282"/>
              <w:jc w:val="both"/>
              <w:rPr>
                <w:rFonts w:ascii="Garamond" w:eastAsia="Garamond" w:hAnsi="Garamond" w:cs="Garamond"/>
                <w:color w:val="000000"/>
              </w:rPr>
            </w:pPr>
            <w:r>
              <w:rPr>
                <w:rFonts w:ascii="Garamond" w:eastAsia="Garamond" w:hAnsi="Garamond" w:cs="Garamond"/>
                <w:color w:val="000000"/>
              </w:rPr>
              <w:t>Azioni possessorie: di reintegrazione e di manutenzione</w:t>
            </w:r>
          </w:p>
          <w:p w:rsidR="006B22E1" w:rsidRDefault="00000000">
            <w:pPr>
              <w:numPr>
                <w:ilvl w:val="0"/>
                <w:numId w:val="5"/>
              </w:numPr>
              <w:pBdr>
                <w:top w:val="nil"/>
                <w:left w:val="nil"/>
                <w:bottom w:val="nil"/>
                <w:right w:val="nil"/>
                <w:between w:val="nil"/>
              </w:pBdr>
              <w:ind w:right="282"/>
              <w:jc w:val="both"/>
              <w:rPr>
                <w:rFonts w:ascii="Garamond" w:eastAsia="Garamond" w:hAnsi="Garamond" w:cs="Garamond"/>
                <w:color w:val="000000"/>
              </w:rPr>
            </w:pPr>
            <w:r>
              <w:rPr>
                <w:rFonts w:ascii="Garamond" w:eastAsia="Garamond" w:hAnsi="Garamond" w:cs="Garamond"/>
                <w:color w:val="000000"/>
              </w:rPr>
              <w:t>Azioni di nunciazione</w:t>
            </w:r>
          </w:p>
          <w:p w:rsidR="006B22E1" w:rsidRDefault="006B22E1">
            <w:pPr>
              <w:ind w:right="282"/>
              <w:jc w:val="both"/>
              <w:rPr>
                <w:rFonts w:ascii="Garamond" w:eastAsia="Garamond" w:hAnsi="Garamond" w:cs="Garamond"/>
              </w:rPr>
            </w:pPr>
          </w:p>
          <w:p w:rsidR="006B22E1" w:rsidRDefault="006B22E1">
            <w:pPr>
              <w:pBdr>
                <w:top w:val="nil"/>
                <w:left w:val="nil"/>
                <w:bottom w:val="nil"/>
                <w:right w:val="nil"/>
                <w:between w:val="nil"/>
              </w:pBdr>
              <w:ind w:right="126"/>
              <w:jc w:val="both"/>
              <w:rPr>
                <w:rFonts w:ascii="Garamond" w:eastAsia="Garamond" w:hAnsi="Garamond" w:cs="Garamond"/>
                <w:color w:val="000000"/>
              </w:rPr>
            </w:pPr>
          </w:p>
        </w:tc>
      </w:tr>
      <w:tr w:rsidR="006B22E1">
        <w:trPr>
          <w:trHeight w:val="1600"/>
          <w:jc w:val="center"/>
        </w:trPr>
        <w:tc>
          <w:tcPr>
            <w:tcW w:w="2942" w:type="dxa"/>
            <w:vAlign w:val="center"/>
          </w:tcPr>
          <w:p w:rsidR="006B22E1" w:rsidRDefault="00000000">
            <w:pPr>
              <w:pStyle w:val="Titolo2"/>
              <w:jc w:val="center"/>
              <w:rPr>
                <w:rFonts w:ascii="Times New Roman" w:hAnsi="Times New Roman"/>
                <w:sz w:val="24"/>
                <w:szCs w:val="24"/>
              </w:rPr>
            </w:pPr>
            <w:r>
              <w:rPr>
                <w:rFonts w:ascii="Times New Roman" w:hAnsi="Times New Roman"/>
                <w:sz w:val="24"/>
                <w:szCs w:val="24"/>
              </w:rPr>
              <w:t>Contenuti disciplinari minimi</w:t>
            </w:r>
          </w:p>
        </w:tc>
        <w:tc>
          <w:tcPr>
            <w:tcW w:w="7555" w:type="dxa"/>
            <w:vAlign w:val="center"/>
          </w:tcPr>
          <w:p w:rsidR="006B22E1" w:rsidRDefault="00000000">
            <w:pPr>
              <w:numPr>
                <w:ilvl w:val="0"/>
                <w:numId w:val="9"/>
              </w:numPr>
              <w:jc w:val="both"/>
              <w:rPr>
                <w:rFonts w:ascii="Garamond" w:eastAsia="Garamond" w:hAnsi="Garamond" w:cs="Garamond"/>
              </w:rPr>
            </w:pPr>
            <w:r>
              <w:rPr>
                <w:rFonts w:ascii="Garamond" w:eastAsia="Garamond" w:hAnsi="Garamond" w:cs="Garamond"/>
              </w:rPr>
              <w:t>Nozione dei diritti reali e loro caratteristiche, relative azioni di tutela</w:t>
            </w:r>
          </w:p>
          <w:p w:rsidR="006B22E1" w:rsidRDefault="00000000">
            <w:pPr>
              <w:numPr>
                <w:ilvl w:val="0"/>
                <w:numId w:val="9"/>
              </w:numPr>
              <w:jc w:val="both"/>
            </w:pPr>
            <w:r>
              <w:rPr>
                <w:rFonts w:ascii="Garamond" w:eastAsia="Garamond" w:hAnsi="Garamond" w:cs="Garamond"/>
              </w:rPr>
              <w:t>Nozione di possesso e relative azioni di tutela</w:t>
            </w:r>
          </w:p>
        </w:tc>
      </w:tr>
    </w:tbl>
    <w:p w:rsidR="006B22E1" w:rsidRDefault="006B22E1">
      <w:pPr>
        <w:rPr>
          <w:b/>
        </w:rPr>
      </w:pPr>
    </w:p>
    <w:p w:rsidR="006B22E1" w:rsidRDefault="006B22E1"/>
    <w:p w:rsidR="006B22E1" w:rsidRDefault="006B22E1"/>
    <w:p w:rsidR="006B22E1" w:rsidRDefault="006B22E1"/>
    <w:p w:rsidR="006B22E1" w:rsidRDefault="006B22E1"/>
    <w:p w:rsidR="006B22E1" w:rsidRDefault="006B22E1"/>
    <w:p w:rsidR="006B22E1" w:rsidRDefault="006B22E1"/>
    <w:p w:rsidR="006B22E1" w:rsidRDefault="006B22E1"/>
    <w:tbl>
      <w:tblPr>
        <w:tblStyle w:val="a2"/>
        <w:tblW w:w="99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57"/>
        <w:gridCol w:w="7"/>
        <w:gridCol w:w="1894"/>
        <w:gridCol w:w="1639"/>
        <w:gridCol w:w="11"/>
        <w:gridCol w:w="3636"/>
      </w:tblGrid>
      <w:tr w:rsidR="006B22E1">
        <w:trPr>
          <w:trHeight w:val="309"/>
        </w:trPr>
        <w:tc>
          <w:tcPr>
            <w:tcW w:w="2757" w:type="dxa"/>
            <w:tcBorders>
              <w:top w:val="single" w:sz="4" w:space="0" w:color="000000"/>
              <w:left w:val="single" w:sz="4" w:space="0" w:color="000000"/>
              <w:right w:val="single" w:sz="4" w:space="0" w:color="000000"/>
            </w:tcBorders>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lastRenderedPageBreak/>
              <w:t>Impegno Orario</w:t>
            </w:r>
          </w:p>
        </w:tc>
        <w:tc>
          <w:tcPr>
            <w:tcW w:w="1901"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ind w:left="170"/>
              <w:rPr>
                <w:sz w:val="20"/>
                <w:szCs w:val="20"/>
              </w:rPr>
            </w:pPr>
            <w:r>
              <w:rPr>
                <w:sz w:val="20"/>
                <w:szCs w:val="20"/>
              </w:rPr>
              <w:t xml:space="preserve">Durata in ore </w:t>
            </w:r>
          </w:p>
        </w:tc>
        <w:tc>
          <w:tcPr>
            <w:tcW w:w="5286" w:type="dxa"/>
            <w:gridSpan w:val="3"/>
            <w:tcBorders>
              <w:top w:val="single" w:sz="4" w:space="0" w:color="000000"/>
              <w:left w:val="single" w:sz="4" w:space="0" w:color="000000"/>
              <w:bottom w:val="single" w:sz="4" w:space="0" w:color="000000"/>
              <w:right w:val="single" w:sz="4" w:space="0" w:color="000000"/>
            </w:tcBorders>
            <w:vAlign w:val="center"/>
          </w:tcPr>
          <w:p w:rsidR="006B22E1" w:rsidRDefault="00000000">
            <w:pPr>
              <w:rPr>
                <w:sz w:val="20"/>
                <w:szCs w:val="20"/>
              </w:rPr>
            </w:pPr>
            <w:r>
              <w:rPr>
                <w:sz w:val="20"/>
                <w:szCs w:val="20"/>
              </w:rPr>
              <w:t>Ore 14 modulo2 Proprietà e possesso</w:t>
            </w:r>
          </w:p>
        </w:tc>
      </w:tr>
      <w:tr w:rsidR="006B22E1">
        <w:trPr>
          <w:trHeight w:val="705"/>
        </w:trPr>
        <w:tc>
          <w:tcPr>
            <w:tcW w:w="2757" w:type="dxa"/>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Metodi Formativi</w:t>
            </w:r>
          </w:p>
          <w:p w:rsidR="006B22E1" w:rsidRDefault="00000000">
            <w:pPr>
              <w:jc w:val="center"/>
              <w:rPr>
                <w:color w:val="FF0000"/>
                <w:sz w:val="20"/>
                <w:szCs w:val="20"/>
              </w:rPr>
            </w:pPr>
            <w:r>
              <w:rPr>
                <w:i/>
                <w:sz w:val="20"/>
                <w:szCs w:val="20"/>
              </w:rPr>
              <w:t>È  possibile selezionare più voci</w:t>
            </w:r>
          </w:p>
        </w:tc>
        <w:tc>
          <w:tcPr>
            <w:tcW w:w="3551" w:type="dxa"/>
            <w:gridSpan w:val="4"/>
            <w:tcBorders>
              <w:top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sz w:val="22"/>
                <w:szCs w:val="22"/>
              </w:rPr>
              <w:t>lezione frontale</w:t>
            </w:r>
          </w:p>
          <w:p w:rsidR="006B22E1"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esercitazioni</w:t>
            </w:r>
          </w:p>
          <w:p w:rsidR="006B22E1"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dialogo formativo</w:t>
            </w:r>
          </w:p>
          <w:p w:rsidR="006B22E1" w:rsidRDefault="00000000">
            <w:pPr>
              <w:rPr>
                <w:rFonts w:ascii="Garamond" w:eastAsia="Garamond" w:hAnsi="Garamond" w:cs="Garamond"/>
              </w:rPr>
            </w:pPr>
            <w:r>
              <w:rPr>
                <w:rFonts w:ascii="Wingdings" w:eastAsia="Wingdings" w:hAnsi="Wingdings" w:cs="Wingdings"/>
              </w:rPr>
              <w:t>⌧</w:t>
            </w:r>
            <w:r>
              <w:rPr>
                <w:sz w:val="22"/>
                <w:szCs w:val="22"/>
              </w:rPr>
              <w:t xml:space="preserve">  </w:t>
            </w:r>
            <w:r>
              <w:rPr>
                <w:rFonts w:ascii="Garamond" w:eastAsia="Garamond" w:hAnsi="Garamond" w:cs="Garamond"/>
              </w:rPr>
              <w:t>problem solving</w:t>
            </w:r>
          </w:p>
          <w:p w:rsidR="006B22E1" w:rsidRDefault="006B22E1">
            <w:pPr>
              <w:rPr>
                <w:sz w:val="20"/>
                <w:szCs w:val="20"/>
              </w:rPr>
            </w:pPr>
          </w:p>
        </w:tc>
        <w:tc>
          <w:tcPr>
            <w:tcW w:w="3636" w:type="dxa"/>
            <w:tcBorders>
              <w:top w:val="single" w:sz="4" w:space="0" w:color="000000"/>
              <w:left w:val="single" w:sz="4" w:space="0" w:color="000000"/>
              <w:bottom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percorso di autoapprendimento</w:t>
            </w:r>
          </w:p>
          <w:p w:rsidR="006B22E1" w:rsidRDefault="00000000">
            <w:pPr>
              <w:rPr>
                <w:rFonts w:ascii="Garamond" w:eastAsia="Garamond" w:hAnsi="Garamond" w:cs="Garamond"/>
              </w:rPr>
            </w:pPr>
            <w:r>
              <w:rPr>
                <w:rFonts w:ascii="Garamond" w:eastAsia="Garamond" w:hAnsi="Garamond" w:cs="Garamond"/>
              </w:rPr>
              <w:t>□ clil</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PCTO</w:t>
            </w:r>
          </w:p>
          <w:p w:rsidR="006B22E1" w:rsidRDefault="00000000">
            <w:pPr>
              <w:rPr>
                <w:i/>
                <w:sz w:val="20"/>
                <w:szCs w:val="20"/>
              </w:rPr>
            </w:pPr>
            <w:sdt>
              <w:sdtPr>
                <w:tag w:val="goog_rdk_3"/>
                <w:id w:val="1500930490"/>
              </w:sdtPr>
              <w:sdtContent>
                <w:r>
                  <w:rPr>
                    <w:rFonts w:ascii="Cardo" w:eastAsia="Cardo" w:hAnsi="Cardo" w:cs="Cardo"/>
                  </w:rPr>
                  <w:t>⌧</w:t>
                </w:r>
              </w:sdtContent>
            </w:sdt>
            <w:r>
              <w:rPr>
                <w:rFonts w:ascii="Garamond" w:eastAsia="Garamond" w:hAnsi="Garamond" w:cs="Garamond"/>
              </w:rPr>
              <w:t xml:space="preserve"> Altro: lavoro di gruppo</w:t>
            </w:r>
          </w:p>
        </w:tc>
      </w:tr>
      <w:tr w:rsidR="006B22E1">
        <w:trPr>
          <w:trHeight w:val="456"/>
        </w:trPr>
        <w:tc>
          <w:tcPr>
            <w:tcW w:w="2757" w:type="dxa"/>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Mezzi, strumenti</w:t>
            </w:r>
          </w:p>
          <w:p w:rsidR="006B22E1" w:rsidRDefault="00000000">
            <w:pPr>
              <w:pStyle w:val="Titolo2"/>
              <w:jc w:val="center"/>
              <w:rPr>
                <w:rFonts w:ascii="Times New Roman" w:hAnsi="Times New Roman"/>
                <w:sz w:val="20"/>
                <w:szCs w:val="20"/>
              </w:rPr>
            </w:pPr>
            <w:r>
              <w:rPr>
                <w:rFonts w:ascii="Times New Roman" w:hAnsi="Times New Roman"/>
                <w:sz w:val="20"/>
                <w:szCs w:val="20"/>
              </w:rPr>
              <w:t>e sussidi</w:t>
            </w:r>
          </w:p>
        </w:tc>
        <w:tc>
          <w:tcPr>
            <w:tcW w:w="3551" w:type="dxa"/>
            <w:gridSpan w:val="4"/>
            <w:tcBorders>
              <w:top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PC</w:t>
            </w:r>
          </w:p>
          <w:p w:rsidR="006B22E1" w:rsidRDefault="00000000">
            <w:pPr>
              <w:rPr>
                <w:rFonts w:ascii="Garamond" w:eastAsia="Garamond" w:hAnsi="Garamond" w:cs="Garamond"/>
              </w:rPr>
            </w:pPr>
            <w:r>
              <w:rPr>
                <w:rFonts w:ascii="Garamond" w:eastAsia="Garamond" w:hAnsi="Garamond" w:cs="Garamond"/>
              </w:rPr>
              <w:t xml:space="preserve">     ○ Argo</w:t>
            </w:r>
          </w:p>
          <w:p w:rsidR="006B22E1" w:rsidRDefault="00000000">
            <w:pPr>
              <w:rPr>
                <w:rFonts w:ascii="Garamond" w:eastAsia="Garamond" w:hAnsi="Garamond" w:cs="Garamond"/>
              </w:rPr>
            </w:pPr>
            <w:r>
              <w:rPr>
                <w:rFonts w:ascii="Garamond" w:eastAsia="Garamond" w:hAnsi="Garamond" w:cs="Garamond"/>
              </w:rPr>
              <w:t xml:space="preserve">     ○ GSuite</w:t>
            </w:r>
          </w:p>
          <w:p w:rsidR="006B22E1" w:rsidRDefault="00000000">
            <w:pPr>
              <w:rPr>
                <w:rFonts w:ascii="Garamond" w:eastAsia="Garamond" w:hAnsi="Garamond" w:cs="Garamond"/>
              </w:rPr>
            </w:pPr>
            <w:r>
              <w:rPr>
                <w:rFonts w:ascii="Garamond" w:eastAsia="Garamond" w:hAnsi="Garamond" w:cs="Garamond"/>
              </w:rPr>
              <w:t xml:space="preserve">     ○ Meet</w:t>
            </w:r>
          </w:p>
          <w:p w:rsidR="006B22E1" w:rsidRDefault="00000000">
            <w:pPr>
              <w:rPr>
                <w:rFonts w:ascii="Garamond" w:eastAsia="Garamond" w:hAnsi="Garamond" w:cs="Garamond"/>
              </w:rPr>
            </w:pPr>
            <w:r>
              <w:rPr>
                <w:rFonts w:ascii="Garamond" w:eastAsia="Garamond" w:hAnsi="Garamond" w:cs="Garamond"/>
              </w:rPr>
              <w:t xml:space="preserve">     ○ Moduli Google</w:t>
            </w:r>
          </w:p>
          <w:p w:rsidR="006B22E1" w:rsidRDefault="00000000">
            <w:pPr>
              <w:rPr>
                <w:sz w:val="20"/>
                <w:szCs w:val="20"/>
              </w:rPr>
            </w:pPr>
            <w:r>
              <w:rPr>
                <w:rFonts w:ascii="Garamond" w:eastAsia="Garamond" w:hAnsi="Garamond" w:cs="Garamond"/>
              </w:rPr>
              <w:t xml:space="preserve"> </w:t>
            </w:r>
            <w:sdt>
              <w:sdtPr>
                <w:tag w:val="goog_rdk_4"/>
                <w:id w:val="1643766893"/>
              </w:sdtPr>
              <w:sdtContent>
                <w:r>
                  <w:rPr>
                    <w:rFonts w:ascii="Cardo" w:eastAsia="Cardo" w:hAnsi="Cardo" w:cs="Cardo"/>
                  </w:rPr>
                  <w:t>⌧</w:t>
                </w:r>
              </w:sdtContent>
            </w:sdt>
            <w:r>
              <w:rPr>
                <w:rFonts w:ascii="Garamond" w:eastAsia="Garamond" w:hAnsi="Garamond" w:cs="Garamond"/>
              </w:rPr>
              <w:t xml:space="preserve"> virtual - lab</w:t>
            </w:r>
          </w:p>
        </w:tc>
        <w:tc>
          <w:tcPr>
            <w:tcW w:w="3636" w:type="dxa"/>
            <w:tcBorders>
              <w:top w:val="single" w:sz="4" w:space="0" w:color="000000"/>
              <w:left w:val="single" w:sz="4" w:space="0" w:color="000000"/>
              <w:bottom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dispense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libro di testo</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pubblicazioni ed e-book</w:t>
            </w:r>
          </w:p>
          <w:p w:rsidR="006B22E1" w:rsidRDefault="00000000">
            <w:pPr>
              <w:rPr>
                <w:rFonts w:ascii="Garamond" w:eastAsia="Garamond" w:hAnsi="Garamond" w:cs="Garamond"/>
                <w:sz w:val="18"/>
                <w:szCs w:val="18"/>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apparati multimediali</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Codice Civile</w:t>
            </w:r>
          </w:p>
          <w:p w:rsidR="006B22E1" w:rsidRDefault="00000000">
            <w:pPr>
              <w:rPr>
                <w:sz w:val="20"/>
                <w:szCs w:val="20"/>
              </w:rPr>
            </w:pPr>
            <w:sdt>
              <w:sdtPr>
                <w:tag w:val="goog_rdk_5"/>
                <w:id w:val="-1548216185"/>
              </w:sdtPr>
              <w:sdtContent>
                <w:r>
                  <w:rPr>
                    <w:rFonts w:ascii="Cardo" w:eastAsia="Cardo" w:hAnsi="Cardo" w:cs="Cardo"/>
                  </w:rPr>
                  <w:t>⌧</w:t>
                </w:r>
              </w:sdtContent>
            </w:sdt>
            <w:r>
              <w:rPr>
                <w:rFonts w:ascii="Garamond" w:eastAsia="Garamond" w:hAnsi="Garamond" w:cs="Garamond"/>
              </w:rPr>
              <w:t xml:space="preserve"> Codice della Navigazione</w:t>
            </w:r>
          </w:p>
        </w:tc>
      </w:tr>
      <w:tr w:rsidR="006B22E1">
        <w:trPr>
          <w:trHeight w:val="359"/>
        </w:trPr>
        <w:tc>
          <w:tcPr>
            <w:tcW w:w="9944" w:type="dxa"/>
            <w:gridSpan w:val="6"/>
            <w:shd w:val="clear" w:color="auto" w:fill="002060"/>
            <w:vAlign w:val="center"/>
          </w:tcPr>
          <w:p w:rsidR="006B22E1" w:rsidRDefault="00000000">
            <w:pPr>
              <w:pStyle w:val="Titolo2"/>
              <w:jc w:val="center"/>
              <w:rPr>
                <w:rFonts w:ascii="Times New Roman" w:hAnsi="Times New Roman"/>
                <w:smallCaps/>
                <w:sz w:val="20"/>
                <w:szCs w:val="20"/>
              </w:rPr>
            </w:pPr>
            <w:r>
              <w:rPr>
                <w:rFonts w:ascii="Times New Roman" w:hAnsi="Times New Roman"/>
                <w:smallCaps/>
                <w:sz w:val="20"/>
                <w:szCs w:val="20"/>
              </w:rPr>
              <w:t>Verifiche E Criteri Di Valutazione</w:t>
            </w:r>
          </w:p>
        </w:tc>
      </w:tr>
      <w:tr w:rsidR="006B22E1">
        <w:trPr>
          <w:trHeight w:val="837"/>
        </w:trPr>
        <w:tc>
          <w:tcPr>
            <w:tcW w:w="2764" w:type="dxa"/>
            <w:gridSpan w:val="2"/>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In itinere</w:t>
            </w:r>
          </w:p>
        </w:tc>
        <w:tc>
          <w:tcPr>
            <w:tcW w:w="3533" w:type="dxa"/>
            <w:gridSpan w:val="2"/>
            <w:tcBorders>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6B22E1" w:rsidRDefault="00000000">
            <w:pPr>
              <w:rPr>
                <w:rFonts w:ascii="Garamond" w:eastAsia="Garamond" w:hAnsi="Garamond" w:cs="Garamond"/>
              </w:rPr>
            </w:pPr>
            <w:r>
              <w:rPr>
                <w:rFonts w:ascii="Garamond" w:eastAsia="Garamond" w:hAnsi="Garamond" w:cs="Garamond"/>
              </w:rPr>
              <w:t>□</w:t>
            </w:r>
            <w:r>
              <w:rPr>
                <w:rFonts w:ascii="Garamond" w:eastAsia="Garamond" w:hAnsi="Garamond" w:cs="Garamond"/>
                <w:i/>
              </w:rPr>
              <w:t xml:space="preserve"> </w:t>
            </w:r>
            <w:r>
              <w:rPr>
                <w:rFonts w:ascii="Garamond" w:eastAsia="Garamond" w:hAnsi="Garamond" w:cs="Garamond"/>
              </w:rPr>
              <w:t>griglie di osservazione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comprensione del testo</w:t>
            </w:r>
          </w:p>
          <w:p w:rsidR="006B22E1" w:rsidRDefault="00000000">
            <w:pPr>
              <w:rPr>
                <w:rFonts w:ascii="Garamond" w:eastAsia="Garamond" w:hAnsi="Garamond" w:cs="Garamond"/>
              </w:rPr>
            </w:pPr>
            <w:r>
              <w:rPr>
                <w:rFonts w:ascii="Garamond" w:eastAsia="Garamond" w:hAnsi="Garamond" w:cs="Garamond"/>
              </w:rPr>
              <w:t>□    prova di simulazione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verifica orale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6B22E1" w:rsidRDefault="00000000">
            <w:pPr>
              <w:rPr>
                <w:sz w:val="20"/>
                <w:szCs w:val="20"/>
              </w:rPr>
            </w:pPr>
            <w:r>
              <w:rPr>
                <w:rFonts w:ascii="Garamond" w:eastAsia="Garamond" w:hAnsi="Garamond" w:cs="Garamond"/>
              </w:rPr>
              <w:t>□    elaborazioni grafiche</w:t>
            </w:r>
          </w:p>
        </w:tc>
        <w:tc>
          <w:tcPr>
            <w:tcW w:w="3647" w:type="dxa"/>
            <w:gridSpan w:val="2"/>
            <w:vMerge w:val="restart"/>
            <w:tcBorders>
              <w:left w:val="single" w:sz="4" w:space="0" w:color="000000"/>
              <w:bottom w:val="single" w:sz="4" w:space="0" w:color="000000"/>
            </w:tcBorders>
            <w:vAlign w:val="center"/>
          </w:tcPr>
          <w:p w:rsidR="006B22E1" w:rsidRDefault="00000000">
            <w:pPr>
              <w:rPr>
                <w:sz w:val="20"/>
                <w:szCs w:val="20"/>
              </w:rPr>
            </w:pPr>
            <w:r>
              <w:rPr>
                <w:noProof/>
              </w:rPr>
              <mc:AlternateContent>
                <mc:Choice Requires="wpg">
                  <w:drawing>
                    <wp:anchor distT="0" distB="0" distL="114300" distR="114300" simplePos="0" relativeHeight="251659264" behindDoc="0" locked="0" layoutInCell="1" hidden="0" allowOverlap="1">
                      <wp:simplePos x="0" y="0"/>
                      <wp:positionH relativeFrom="column">
                        <wp:posOffset>330200</wp:posOffset>
                      </wp:positionH>
                      <wp:positionV relativeFrom="paragraph">
                        <wp:posOffset>25400</wp:posOffset>
                      </wp:positionV>
                      <wp:extent cx="1591945" cy="285750"/>
                      <wp:effectExtent l="0" t="0" r="0" b="0"/>
                      <wp:wrapNone/>
                      <wp:docPr id="9" name="Rettangolo 9"/>
                      <wp:cNvGraphicFramePr/>
                      <a:graphic xmlns:a="http://schemas.openxmlformats.org/drawingml/2006/main">
                        <a:graphicData uri="http://schemas.microsoft.com/office/word/2010/wordprocessingShape">
                          <wps:wsp>
                            <wps:cNvSpPr/>
                            <wps:spPr>
                              <a:xfrm>
                                <a:off x="4554790" y="3641888"/>
                                <a:ext cx="1582420" cy="276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B22E1" w:rsidRDefault="00000000">
                                  <w:pPr>
                                    <w:textDirection w:val="btLr"/>
                                  </w:pPr>
                                  <w:r>
                                    <w:rPr>
                                      <w:color w:val="000000"/>
                                    </w:rPr>
                                    <w:t>Criteri di Valutazione</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330200</wp:posOffset>
                      </wp:positionH>
                      <wp:positionV relativeFrom="paragraph">
                        <wp:posOffset>25400</wp:posOffset>
                      </wp:positionV>
                      <wp:extent cx="1591945" cy="285750"/>
                      <wp:effectExtent b="0" l="0" r="0" t="0"/>
                      <wp:wrapNone/>
                      <wp:docPr id="9"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1591945" cy="285750"/>
                              </a:xfrm>
                              <a:prstGeom prst="rect"/>
                              <a:ln/>
                            </pic:spPr>
                          </pic:pic>
                        </a:graphicData>
                      </a:graphic>
                    </wp:anchor>
                  </w:drawing>
                </mc:Fallback>
              </mc:AlternateContent>
            </w:r>
          </w:p>
          <w:p w:rsidR="006B22E1" w:rsidRDefault="006B22E1">
            <w:pPr>
              <w:rPr>
                <w:sz w:val="20"/>
                <w:szCs w:val="20"/>
              </w:rPr>
            </w:pPr>
          </w:p>
          <w:p w:rsidR="006B22E1" w:rsidRDefault="006B22E1">
            <w:pPr>
              <w:rPr>
                <w:sz w:val="20"/>
                <w:szCs w:val="20"/>
              </w:rPr>
            </w:pPr>
          </w:p>
          <w:p w:rsidR="006B22E1" w:rsidRDefault="00000000">
            <w:pPr>
              <w:jc w:val="both"/>
            </w:pPr>
            <w:r>
              <w:t xml:space="preserve">I criteri di valutazione per le prove sono quelli riportati nel P.T.O.F.; </w:t>
            </w:r>
          </w:p>
          <w:p w:rsidR="006B22E1" w:rsidRDefault="006B22E1">
            <w:pPr>
              <w:jc w:val="both"/>
            </w:pPr>
          </w:p>
          <w:p w:rsidR="006B22E1" w:rsidRDefault="006B22E1">
            <w:pPr>
              <w:jc w:val="both"/>
            </w:pPr>
          </w:p>
          <w:p w:rsidR="006B22E1" w:rsidRDefault="00000000">
            <w:pPr>
              <w:jc w:val="both"/>
              <w:rPr>
                <w:sz w:val="20"/>
                <w:szCs w:val="20"/>
              </w:rPr>
            </w:pPr>
            <w:r>
              <w:t>Nella valutazione finale si tiene conto del profitto, dell’impegno, della partecipazione attiva alle lezioni in presenza e/o in modalità didattica integrata e dei progressi compiuti dall’allievo nella sua attività di apprendimento.</w:t>
            </w:r>
          </w:p>
        </w:tc>
      </w:tr>
      <w:tr w:rsidR="006B22E1">
        <w:trPr>
          <w:trHeight w:val="2863"/>
        </w:trPr>
        <w:tc>
          <w:tcPr>
            <w:tcW w:w="2764" w:type="dxa"/>
            <w:gridSpan w:val="2"/>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Fine modulo</w:t>
            </w:r>
          </w:p>
        </w:tc>
        <w:tc>
          <w:tcPr>
            <w:tcW w:w="3533" w:type="dxa"/>
            <w:gridSpan w:val="2"/>
            <w:tcBorders>
              <w:top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prova semistrutturata</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comprensione del testo</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6B22E1" w:rsidRDefault="006B22E1">
            <w:pPr>
              <w:rPr>
                <w:sz w:val="20"/>
                <w:szCs w:val="20"/>
              </w:rPr>
            </w:pPr>
          </w:p>
        </w:tc>
        <w:tc>
          <w:tcPr>
            <w:tcW w:w="3647" w:type="dxa"/>
            <w:gridSpan w:val="2"/>
            <w:vMerge/>
            <w:tcBorders>
              <w:left w:val="single" w:sz="4" w:space="0" w:color="000000"/>
              <w:bottom w:val="single" w:sz="4" w:space="0" w:color="000000"/>
            </w:tcBorders>
            <w:vAlign w:val="center"/>
          </w:tcPr>
          <w:p w:rsidR="006B22E1" w:rsidRDefault="006B22E1">
            <w:pPr>
              <w:widowControl w:val="0"/>
              <w:pBdr>
                <w:top w:val="nil"/>
                <w:left w:val="nil"/>
                <w:bottom w:val="nil"/>
                <w:right w:val="nil"/>
                <w:between w:val="nil"/>
              </w:pBdr>
              <w:spacing w:line="276" w:lineRule="auto"/>
              <w:rPr>
                <w:sz w:val="20"/>
                <w:szCs w:val="20"/>
              </w:rPr>
            </w:pPr>
          </w:p>
        </w:tc>
      </w:tr>
      <w:tr w:rsidR="006B22E1">
        <w:trPr>
          <w:trHeight w:val="408"/>
        </w:trPr>
        <w:tc>
          <w:tcPr>
            <w:tcW w:w="2764" w:type="dxa"/>
            <w:gridSpan w:val="2"/>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 xml:space="preserve">Livelli minimi per le </w:t>
            </w:r>
          </w:p>
          <w:p w:rsidR="006B22E1" w:rsidRDefault="00000000">
            <w:pPr>
              <w:pStyle w:val="Titolo2"/>
              <w:jc w:val="center"/>
              <w:rPr>
                <w:rFonts w:ascii="Times New Roman" w:hAnsi="Times New Roman"/>
                <w:sz w:val="20"/>
                <w:szCs w:val="20"/>
              </w:rPr>
            </w:pPr>
            <w:r>
              <w:rPr>
                <w:rFonts w:ascii="Times New Roman" w:hAnsi="Times New Roman"/>
                <w:sz w:val="20"/>
                <w:szCs w:val="20"/>
              </w:rPr>
              <w:t>verifiche</w:t>
            </w:r>
          </w:p>
        </w:tc>
        <w:tc>
          <w:tcPr>
            <w:tcW w:w="7180" w:type="dxa"/>
            <w:gridSpan w:val="4"/>
            <w:tcBorders>
              <w:top w:val="single" w:sz="4" w:space="0" w:color="000000"/>
              <w:bottom w:val="single" w:sz="4" w:space="0" w:color="000000"/>
            </w:tcBorders>
            <w:vAlign w:val="center"/>
          </w:tcPr>
          <w:p w:rsidR="006B22E1" w:rsidRDefault="006B22E1">
            <w:pPr>
              <w:spacing w:line="276" w:lineRule="auto"/>
              <w:jc w:val="both"/>
              <w:rPr>
                <w:sz w:val="20"/>
                <w:szCs w:val="20"/>
              </w:rPr>
            </w:pPr>
          </w:p>
          <w:p w:rsidR="006B22E1" w:rsidRDefault="00000000">
            <w:pPr>
              <w:spacing w:line="276" w:lineRule="auto"/>
              <w:jc w:val="both"/>
              <w:rPr>
                <w:rFonts w:ascii="Garamond" w:eastAsia="Garamond" w:hAnsi="Garamond" w:cs="Garamond"/>
              </w:rPr>
            </w:pPr>
            <w:r>
              <w:rPr>
                <w:rFonts w:ascii="Garamond" w:eastAsia="Garamond" w:hAnsi="Garamond" w:cs="Garamond"/>
              </w:rPr>
              <w:t>Conoscenze ed abilità essenziali sul diritto di proprietà, diritti reali e possesso</w:t>
            </w:r>
          </w:p>
          <w:p w:rsidR="006B22E1" w:rsidRDefault="006B22E1">
            <w:pPr>
              <w:ind w:left="360"/>
              <w:jc w:val="both"/>
              <w:rPr>
                <w:sz w:val="20"/>
                <w:szCs w:val="20"/>
              </w:rPr>
            </w:pPr>
          </w:p>
        </w:tc>
      </w:tr>
      <w:tr w:rsidR="006B22E1">
        <w:trPr>
          <w:trHeight w:val="408"/>
        </w:trPr>
        <w:tc>
          <w:tcPr>
            <w:tcW w:w="2764" w:type="dxa"/>
            <w:gridSpan w:val="2"/>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 xml:space="preserve">Azioni di recupero e di </w:t>
            </w:r>
          </w:p>
          <w:p w:rsidR="006B22E1" w:rsidRDefault="00000000">
            <w:pPr>
              <w:pStyle w:val="Titolo2"/>
              <w:jc w:val="center"/>
              <w:rPr>
                <w:rFonts w:ascii="Times New Roman" w:hAnsi="Times New Roman"/>
                <w:sz w:val="20"/>
                <w:szCs w:val="20"/>
              </w:rPr>
            </w:pPr>
            <w:r>
              <w:rPr>
                <w:rFonts w:ascii="Times New Roman" w:hAnsi="Times New Roman"/>
                <w:sz w:val="20"/>
                <w:szCs w:val="20"/>
              </w:rPr>
              <w:t>approfondimento</w:t>
            </w:r>
          </w:p>
        </w:tc>
        <w:tc>
          <w:tcPr>
            <w:tcW w:w="7180" w:type="dxa"/>
            <w:gridSpan w:val="4"/>
            <w:tcBorders>
              <w:top w:val="single" w:sz="4" w:space="0" w:color="000000"/>
              <w:bottom w:val="single" w:sz="4" w:space="0" w:color="000000"/>
            </w:tcBorders>
            <w:vAlign w:val="center"/>
          </w:tcPr>
          <w:p w:rsidR="006B22E1" w:rsidRDefault="00000000">
            <w:pPr>
              <w:jc w:val="both"/>
              <w:rPr>
                <w:rFonts w:ascii="Garamond" w:eastAsia="Garamond" w:hAnsi="Garamond" w:cs="Garamond"/>
              </w:rPr>
            </w:pPr>
            <w:r>
              <w:rPr>
                <w:rFonts w:ascii="Garamond" w:eastAsia="Garamond" w:hAnsi="Garamond" w:cs="Garamond"/>
              </w:rPr>
              <w:t>Il recupero curriculare sarà costante al fine di favorire l’apprendimento degli alunni più fragili nonché il potenziamento di quelli più rispondenti; a seguito degli esiti del primo trimestre, nel mese di gennaio, verranno riesaminati le tematiche già svolte per consentire il recupero di chi ha riportato le insufficienze.</w:t>
            </w:r>
          </w:p>
          <w:p w:rsidR="006B22E1" w:rsidRDefault="00000000">
            <w:pPr>
              <w:spacing w:line="276" w:lineRule="auto"/>
              <w:jc w:val="both"/>
              <w:rPr>
                <w:sz w:val="20"/>
                <w:szCs w:val="20"/>
              </w:rPr>
            </w:pPr>
            <w:r>
              <w:rPr>
                <w:rFonts w:ascii="Garamond" w:eastAsia="Garamond" w:hAnsi="Garamond" w:cs="Garamond"/>
              </w:rPr>
              <w:t xml:space="preserve">L’approfondimento consisterà nella produzione di lavori di ricerca su tematiche particolarmente significative, quali lo svolgimento di un processo </w:t>
            </w:r>
          </w:p>
        </w:tc>
      </w:tr>
    </w:tbl>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000000">
      <w:pPr>
        <w:rPr>
          <w:rFonts w:ascii="Garamond" w:eastAsia="Garamond" w:hAnsi="Garamond" w:cs="Garamond"/>
          <w:b/>
        </w:rPr>
      </w:pPr>
      <w:r>
        <w:rPr>
          <w:rFonts w:ascii="Garamond" w:eastAsia="Garamond" w:hAnsi="Garamond" w:cs="Garamond"/>
          <w:b/>
        </w:rPr>
        <w:t xml:space="preserve">MODULO N. 3     </w:t>
      </w:r>
      <w:r>
        <w:rPr>
          <w:rFonts w:ascii="Garamond" w:eastAsia="Garamond" w:hAnsi="Garamond" w:cs="Garamond"/>
          <w:b/>
        </w:rPr>
        <w:tab/>
        <w:t>Legge nazionale e diritto internazionale</w:t>
      </w:r>
    </w:p>
    <w:p w:rsidR="006B22E1" w:rsidRDefault="006B22E1">
      <w:pPr>
        <w:rPr>
          <w:sz w:val="16"/>
          <w:szCs w:val="16"/>
        </w:rPr>
      </w:pPr>
    </w:p>
    <w:tbl>
      <w:tblPr>
        <w:tblStyle w:val="a3"/>
        <w:tblW w:w="1050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7557"/>
      </w:tblGrid>
      <w:tr w:rsidR="006B22E1">
        <w:trPr>
          <w:trHeight w:val="1001"/>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 xml:space="preserve">Prerequisiti </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pBdr>
                <w:top w:val="nil"/>
                <w:left w:val="nil"/>
                <w:bottom w:val="nil"/>
                <w:right w:val="nil"/>
                <w:between w:val="nil"/>
              </w:pBdr>
              <w:spacing w:line="276" w:lineRule="auto"/>
              <w:ind w:left="716"/>
              <w:jc w:val="both"/>
              <w:rPr>
                <w:color w:val="000000"/>
              </w:rPr>
            </w:pPr>
          </w:p>
          <w:p w:rsidR="006B22E1" w:rsidRDefault="00000000">
            <w:pPr>
              <w:numPr>
                <w:ilvl w:val="0"/>
                <w:numId w:val="2"/>
              </w:numPr>
              <w:pBdr>
                <w:top w:val="nil"/>
                <w:left w:val="nil"/>
                <w:bottom w:val="nil"/>
                <w:right w:val="nil"/>
                <w:between w:val="nil"/>
              </w:pBdr>
              <w:spacing w:line="276" w:lineRule="auto"/>
              <w:ind w:left="537" w:hanging="284"/>
              <w:jc w:val="both"/>
              <w:rPr>
                <w:rFonts w:ascii="Garamond" w:eastAsia="Garamond" w:hAnsi="Garamond" w:cs="Garamond"/>
                <w:color w:val="000000"/>
              </w:rPr>
            </w:pPr>
            <w:r>
              <w:rPr>
                <w:rFonts w:ascii="Garamond" w:eastAsia="Garamond" w:hAnsi="Garamond" w:cs="Garamond"/>
                <w:color w:val="000000"/>
              </w:rPr>
              <w:t xml:space="preserve">Conoscere le fonti del diritto; </w:t>
            </w:r>
          </w:p>
          <w:p w:rsidR="006B22E1" w:rsidRDefault="00000000">
            <w:pPr>
              <w:numPr>
                <w:ilvl w:val="0"/>
                <w:numId w:val="2"/>
              </w:numPr>
              <w:pBdr>
                <w:top w:val="nil"/>
                <w:left w:val="nil"/>
                <w:bottom w:val="nil"/>
                <w:right w:val="nil"/>
                <w:between w:val="nil"/>
              </w:pBdr>
              <w:spacing w:line="276" w:lineRule="auto"/>
              <w:ind w:left="537" w:hanging="284"/>
              <w:jc w:val="both"/>
              <w:rPr>
                <w:rFonts w:ascii="Garamond" w:eastAsia="Garamond" w:hAnsi="Garamond" w:cs="Garamond"/>
                <w:color w:val="000000"/>
              </w:rPr>
            </w:pPr>
            <w:r>
              <w:rPr>
                <w:rFonts w:ascii="Garamond" w:eastAsia="Garamond" w:hAnsi="Garamond" w:cs="Garamond"/>
                <w:color w:val="000000"/>
              </w:rPr>
              <w:t>Conoscere i criteri di soluzione del conflitto tra le fonti</w:t>
            </w:r>
          </w:p>
          <w:p w:rsidR="006B22E1" w:rsidRDefault="006B22E1">
            <w:pPr>
              <w:pBdr>
                <w:top w:val="nil"/>
                <w:left w:val="nil"/>
                <w:bottom w:val="nil"/>
                <w:right w:val="nil"/>
                <w:between w:val="nil"/>
              </w:pBdr>
              <w:spacing w:line="276" w:lineRule="auto"/>
              <w:ind w:left="537"/>
              <w:jc w:val="both"/>
              <w:rPr>
                <w:color w:val="000000"/>
              </w:rPr>
            </w:pPr>
          </w:p>
        </w:tc>
      </w:tr>
      <w:tr w:rsidR="006B22E1">
        <w:trPr>
          <w:trHeight w:val="950"/>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Discipline coinvolte</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spacing w:line="276" w:lineRule="auto"/>
              <w:jc w:val="both"/>
            </w:pPr>
          </w:p>
        </w:tc>
      </w:tr>
      <w:tr w:rsidR="006B22E1">
        <w:trPr>
          <w:trHeight w:val="540"/>
          <w:jc w:val="center"/>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002060"/>
            <w:vAlign w:val="center"/>
          </w:tcPr>
          <w:p w:rsidR="006B22E1" w:rsidRDefault="00000000">
            <w:pPr>
              <w:spacing w:line="276" w:lineRule="auto"/>
              <w:ind w:left="68" w:right="181"/>
              <w:jc w:val="center"/>
              <w:rPr>
                <w:smallCaps/>
                <w:color w:val="0070C0"/>
                <w:sz w:val="28"/>
                <w:szCs w:val="28"/>
              </w:rPr>
            </w:pPr>
            <w:r>
              <w:rPr>
                <w:b/>
                <w:smallCaps/>
                <w:sz w:val="28"/>
                <w:szCs w:val="28"/>
              </w:rPr>
              <w:t>Abilità</w:t>
            </w:r>
          </w:p>
        </w:tc>
      </w:tr>
      <w:tr w:rsidR="006B22E1">
        <w:trPr>
          <w:trHeight w:val="885"/>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 xml:space="preserve">Abilità LLGG </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pBdr>
                <w:top w:val="nil"/>
                <w:left w:val="nil"/>
                <w:bottom w:val="nil"/>
                <w:right w:val="nil"/>
                <w:between w:val="nil"/>
              </w:pBdr>
              <w:spacing w:before="120" w:line="276" w:lineRule="auto"/>
              <w:ind w:left="720" w:right="181"/>
              <w:jc w:val="both"/>
              <w:rPr>
                <w:color w:val="000000"/>
              </w:rPr>
            </w:pPr>
          </w:p>
          <w:p w:rsidR="006B22E1" w:rsidRDefault="00000000">
            <w:pPr>
              <w:numPr>
                <w:ilvl w:val="0"/>
                <w:numId w:val="2"/>
              </w:numPr>
              <w:pBdr>
                <w:top w:val="nil"/>
                <w:left w:val="nil"/>
                <w:bottom w:val="nil"/>
                <w:right w:val="nil"/>
                <w:between w:val="nil"/>
              </w:pBdr>
              <w:spacing w:after="120" w:line="276" w:lineRule="auto"/>
              <w:ind w:left="537" w:right="181" w:hanging="284"/>
              <w:jc w:val="both"/>
            </w:pPr>
            <w:r>
              <w:rPr>
                <w:rFonts w:ascii="Garamond" w:eastAsia="Garamond" w:hAnsi="Garamond" w:cs="Garamond"/>
                <w:color w:val="000000"/>
              </w:rPr>
              <w:t>Comprendere le relazioni sussistenti tra le fonti interne ed esterne</w:t>
            </w:r>
          </w:p>
        </w:tc>
      </w:tr>
      <w:tr w:rsidR="006B22E1">
        <w:trPr>
          <w:trHeight w:val="551"/>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 xml:space="preserve">Abilità </w:t>
            </w:r>
          </w:p>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da formulare</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pBdr>
                <w:top w:val="nil"/>
                <w:left w:val="nil"/>
                <w:bottom w:val="nil"/>
                <w:right w:val="nil"/>
                <w:between w:val="nil"/>
              </w:pBdr>
              <w:spacing w:line="276" w:lineRule="auto"/>
              <w:rPr>
                <w:color w:val="000000"/>
              </w:rPr>
            </w:pP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Descrivere il modo in cui si applica nell’ordinamento interno un Trattato internazionale;</w:t>
            </w: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Distinguere la nozione di diritto internazionale privato da quello pubblico nonché quella fra diritto comunitario e internazionale</w:t>
            </w: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Descrivere la differenza tra Convenzione e Trattato</w:t>
            </w: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Descrivere i compiti e la composizione delle principali organizzazioni internazionali</w:t>
            </w: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Conoscere la composizione degli organi istituzionali europei e riconoscere le differenti funzioni dei principali organi dell’UE</w:t>
            </w: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Saper distinguere le diverse fonti normative</w:t>
            </w:r>
          </w:p>
          <w:p w:rsidR="006B22E1" w:rsidRDefault="006B22E1">
            <w:pPr>
              <w:pBdr>
                <w:top w:val="nil"/>
                <w:left w:val="nil"/>
                <w:bottom w:val="nil"/>
                <w:right w:val="nil"/>
                <w:between w:val="nil"/>
              </w:pBdr>
              <w:tabs>
                <w:tab w:val="left" w:pos="0"/>
              </w:tabs>
              <w:spacing w:line="276" w:lineRule="auto"/>
              <w:ind w:left="537" w:right="282"/>
              <w:jc w:val="both"/>
              <w:rPr>
                <w:rFonts w:ascii="Garamond" w:eastAsia="Garamond" w:hAnsi="Garamond" w:cs="Garamond"/>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tc>
      </w:tr>
      <w:tr w:rsidR="006B22E1">
        <w:trPr>
          <w:trHeight w:val="633"/>
          <w:jc w:val="center"/>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002060"/>
            <w:vAlign w:val="center"/>
          </w:tcPr>
          <w:p w:rsidR="006B22E1" w:rsidRDefault="006B22E1">
            <w:pPr>
              <w:spacing w:line="276" w:lineRule="auto"/>
            </w:pPr>
          </w:p>
          <w:p w:rsidR="006B22E1" w:rsidRDefault="00000000">
            <w:pPr>
              <w:spacing w:before="60" w:after="60" w:line="276" w:lineRule="auto"/>
              <w:ind w:left="68" w:right="181"/>
              <w:jc w:val="center"/>
              <w:rPr>
                <w:b/>
                <w:smallCaps/>
                <w:sz w:val="28"/>
                <w:szCs w:val="28"/>
              </w:rPr>
            </w:pPr>
            <w:r>
              <w:rPr>
                <w:b/>
                <w:smallCaps/>
                <w:sz w:val="28"/>
                <w:szCs w:val="28"/>
              </w:rPr>
              <w:t>Conoscenze</w:t>
            </w:r>
          </w:p>
        </w:tc>
      </w:tr>
      <w:tr w:rsidR="006B22E1">
        <w:trPr>
          <w:trHeight w:val="951"/>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lastRenderedPageBreak/>
              <w:t xml:space="preserve">Conoscenze LLGG </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spacing w:line="276" w:lineRule="auto"/>
              <w:ind w:left="720"/>
              <w:jc w:val="both"/>
              <w:rPr>
                <w:rFonts w:ascii="Garamond" w:eastAsia="Garamond" w:hAnsi="Garamond" w:cs="Garamond"/>
              </w:rPr>
            </w:pPr>
          </w:p>
          <w:p w:rsidR="006B22E1" w:rsidRDefault="00000000">
            <w:pPr>
              <w:numPr>
                <w:ilvl w:val="0"/>
                <w:numId w:val="7"/>
              </w:numPr>
              <w:spacing w:line="276" w:lineRule="auto"/>
              <w:jc w:val="both"/>
              <w:rPr>
                <w:rFonts w:ascii="Garamond" w:eastAsia="Garamond" w:hAnsi="Garamond" w:cs="Garamond"/>
              </w:rPr>
            </w:pPr>
            <w:r>
              <w:rPr>
                <w:rFonts w:ascii="Garamond" w:eastAsia="Garamond" w:hAnsi="Garamond" w:cs="Garamond"/>
              </w:rPr>
              <w:t>Diritto pubblico e privato</w:t>
            </w:r>
          </w:p>
          <w:p w:rsidR="006B22E1" w:rsidRDefault="00000000">
            <w:pPr>
              <w:numPr>
                <w:ilvl w:val="0"/>
                <w:numId w:val="7"/>
              </w:numPr>
              <w:spacing w:line="276" w:lineRule="auto"/>
              <w:jc w:val="both"/>
              <w:rPr>
                <w:rFonts w:ascii="Garamond" w:eastAsia="Garamond" w:hAnsi="Garamond" w:cs="Garamond"/>
              </w:rPr>
            </w:pPr>
            <w:r>
              <w:rPr>
                <w:rFonts w:ascii="Garamond" w:eastAsia="Garamond" w:hAnsi="Garamond" w:cs="Garamond"/>
              </w:rPr>
              <w:t>Diritto internazionale pubblico e privato</w:t>
            </w:r>
          </w:p>
        </w:tc>
      </w:tr>
      <w:tr w:rsidR="006B22E1">
        <w:trPr>
          <w:trHeight w:val="585"/>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Conoscenze</w:t>
            </w:r>
          </w:p>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da formulare</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pBdr>
                <w:top w:val="nil"/>
                <w:left w:val="nil"/>
                <w:bottom w:val="nil"/>
                <w:right w:val="nil"/>
                <w:between w:val="nil"/>
              </w:pBdr>
              <w:ind w:left="679" w:right="282"/>
              <w:jc w:val="both"/>
              <w:rPr>
                <w:rFonts w:ascii="Garamond" w:eastAsia="Garamond" w:hAnsi="Garamond" w:cs="Garamond"/>
                <w:color w:val="000000"/>
              </w:rPr>
            </w:pPr>
          </w:p>
          <w:p w:rsidR="006B22E1" w:rsidRDefault="00000000">
            <w:pPr>
              <w:numPr>
                <w:ilvl w:val="0"/>
                <w:numId w:val="8"/>
              </w:numPr>
              <w:pBdr>
                <w:top w:val="nil"/>
                <w:left w:val="nil"/>
                <w:bottom w:val="nil"/>
                <w:right w:val="nil"/>
                <w:between w:val="nil"/>
              </w:pBdr>
              <w:ind w:left="679" w:right="282" w:hanging="284"/>
              <w:jc w:val="both"/>
              <w:rPr>
                <w:rFonts w:ascii="Garamond" w:eastAsia="Garamond" w:hAnsi="Garamond" w:cs="Garamond"/>
                <w:color w:val="000000"/>
              </w:rPr>
            </w:pPr>
            <w:r>
              <w:rPr>
                <w:rFonts w:ascii="Garamond" w:eastAsia="Garamond" w:hAnsi="Garamond" w:cs="Garamond"/>
                <w:color w:val="000000"/>
              </w:rPr>
              <w:t>Le fonti del diritto.</w:t>
            </w:r>
          </w:p>
          <w:p w:rsidR="006B22E1" w:rsidRDefault="00000000">
            <w:pPr>
              <w:numPr>
                <w:ilvl w:val="0"/>
                <w:numId w:val="8"/>
              </w:numPr>
              <w:pBdr>
                <w:top w:val="nil"/>
                <w:left w:val="nil"/>
                <w:bottom w:val="nil"/>
                <w:right w:val="nil"/>
                <w:between w:val="nil"/>
              </w:pBdr>
              <w:ind w:left="679" w:right="282" w:hanging="284"/>
              <w:jc w:val="both"/>
              <w:rPr>
                <w:rFonts w:ascii="Garamond" w:eastAsia="Garamond" w:hAnsi="Garamond" w:cs="Garamond"/>
                <w:color w:val="000000"/>
              </w:rPr>
            </w:pPr>
            <w:r>
              <w:rPr>
                <w:rFonts w:ascii="Garamond" w:eastAsia="Garamond" w:hAnsi="Garamond" w:cs="Garamond"/>
                <w:color w:val="000000"/>
              </w:rPr>
              <w:t xml:space="preserve"> Il diritto oggettivo e soggettivo, diritto internazionale pubblico e privato.</w:t>
            </w:r>
          </w:p>
          <w:p w:rsidR="006B22E1" w:rsidRDefault="00000000">
            <w:pPr>
              <w:numPr>
                <w:ilvl w:val="0"/>
                <w:numId w:val="8"/>
              </w:numPr>
              <w:pBdr>
                <w:top w:val="nil"/>
                <w:left w:val="nil"/>
                <w:bottom w:val="nil"/>
                <w:right w:val="nil"/>
                <w:between w:val="nil"/>
              </w:pBdr>
              <w:ind w:left="679" w:right="282" w:hanging="284"/>
              <w:jc w:val="both"/>
              <w:rPr>
                <w:rFonts w:ascii="Garamond" w:eastAsia="Garamond" w:hAnsi="Garamond" w:cs="Garamond"/>
                <w:color w:val="000000"/>
              </w:rPr>
            </w:pPr>
            <w:r>
              <w:rPr>
                <w:rFonts w:ascii="Garamond" w:eastAsia="Garamond" w:hAnsi="Garamond" w:cs="Garamond"/>
                <w:color w:val="000000"/>
              </w:rPr>
              <w:t>Gli accordi internazionali e la loro efficacia</w:t>
            </w:r>
          </w:p>
          <w:p w:rsidR="006B22E1" w:rsidRDefault="00000000">
            <w:pPr>
              <w:numPr>
                <w:ilvl w:val="0"/>
                <w:numId w:val="8"/>
              </w:numPr>
              <w:pBdr>
                <w:top w:val="nil"/>
                <w:left w:val="nil"/>
                <w:bottom w:val="nil"/>
                <w:right w:val="nil"/>
                <w:between w:val="nil"/>
              </w:pBdr>
              <w:ind w:left="679" w:right="282" w:hanging="284"/>
              <w:jc w:val="both"/>
              <w:rPr>
                <w:rFonts w:ascii="Garamond" w:eastAsia="Garamond" w:hAnsi="Garamond" w:cs="Garamond"/>
                <w:color w:val="000000"/>
              </w:rPr>
            </w:pPr>
            <w:r>
              <w:rPr>
                <w:rFonts w:ascii="Garamond" w:eastAsia="Garamond" w:hAnsi="Garamond" w:cs="Garamond"/>
                <w:color w:val="000000"/>
              </w:rPr>
              <w:t>Composizione e funzioni delle organizzazioni internazionali.</w:t>
            </w:r>
          </w:p>
          <w:p w:rsidR="006B22E1" w:rsidRDefault="00000000">
            <w:pPr>
              <w:numPr>
                <w:ilvl w:val="0"/>
                <w:numId w:val="8"/>
              </w:numPr>
              <w:pBdr>
                <w:top w:val="nil"/>
                <w:left w:val="nil"/>
                <w:bottom w:val="nil"/>
                <w:right w:val="nil"/>
                <w:between w:val="nil"/>
              </w:pBdr>
              <w:ind w:left="679" w:right="282" w:hanging="284"/>
              <w:jc w:val="both"/>
              <w:rPr>
                <w:rFonts w:ascii="Garamond" w:eastAsia="Garamond" w:hAnsi="Garamond" w:cs="Garamond"/>
                <w:color w:val="000000"/>
              </w:rPr>
            </w:pPr>
            <w:r>
              <w:rPr>
                <w:rFonts w:ascii="Garamond" w:eastAsia="Garamond" w:hAnsi="Garamond" w:cs="Garamond"/>
                <w:color w:val="000000"/>
              </w:rPr>
              <w:t>Gli organi comunitari</w:t>
            </w:r>
          </w:p>
          <w:p w:rsidR="006B22E1" w:rsidRDefault="00000000">
            <w:pPr>
              <w:numPr>
                <w:ilvl w:val="0"/>
                <w:numId w:val="8"/>
              </w:numPr>
              <w:pBdr>
                <w:top w:val="nil"/>
                <w:left w:val="nil"/>
                <w:bottom w:val="nil"/>
                <w:right w:val="nil"/>
                <w:between w:val="nil"/>
              </w:pBdr>
              <w:ind w:left="679" w:right="282" w:hanging="284"/>
              <w:jc w:val="both"/>
              <w:rPr>
                <w:rFonts w:ascii="Garamond" w:eastAsia="Garamond" w:hAnsi="Garamond" w:cs="Garamond"/>
                <w:color w:val="000000"/>
              </w:rPr>
            </w:pPr>
            <w:r>
              <w:rPr>
                <w:rFonts w:ascii="Garamond" w:eastAsia="Garamond" w:hAnsi="Garamond" w:cs="Garamond"/>
                <w:color w:val="000000"/>
              </w:rPr>
              <w:t>Differenze tra gli atti normativi europei</w:t>
            </w:r>
          </w:p>
          <w:p w:rsidR="006B22E1" w:rsidRDefault="00000000">
            <w:pPr>
              <w:ind w:left="142"/>
              <w:jc w:val="both"/>
              <w:rPr>
                <w:rFonts w:ascii="Garamond" w:eastAsia="Garamond" w:hAnsi="Garamond" w:cs="Garamond"/>
              </w:rPr>
            </w:pPr>
            <w:r>
              <w:rPr>
                <w:rFonts w:ascii="Garamond" w:eastAsia="Garamond" w:hAnsi="Garamond" w:cs="Garamond"/>
              </w:rPr>
              <w:tab/>
            </w:r>
          </w:p>
        </w:tc>
      </w:tr>
      <w:tr w:rsidR="006B22E1">
        <w:trPr>
          <w:trHeight w:val="1600"/>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Contenuti disciplinari minimi</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000000">
            <w:pPr>
              <w:numPr>
                <w:ilvl w:val="0"/>
                <w:numId w:val="4"/>
              </w:numPr>
              <w:pBdr>
                <w:top w:val="nil"/>
                <w:left w:val="nil"/>
                <w:bottom w:val="nil"/>
                <w:right w:val="nil"/>
                <w:between w:val="nil"/>
              </w:pBdr>
              <w:spacing w:line="276" w:lineRule="auto"/>
              <w:jc w:val="both"/>
            </w:pPr>
            <w:r>
              <w:rPr>
                <w:color w:val="000000"/>
              </w:rPr>
              <w:t>Classificazione del diritto: diritto oggettivo e soggettivo; pubblico e privato; diritto internazionale pubblico e privato</w:t>
            </w:r>
          </w:p>
          <w:p w:rsidR="006B22E1" w:rsidRDefault="00000000">
            <w:pPr>
              <w:numPr>
                <w:ilvl w:val="0"/>
                <w:numId w:val="4"/>
              </w:numPr>
              <w:pBdr>
                <w:top w:val="nil"/>
                <w:left w:val="nil"/>
                <w:bottom w:val="nil"/>
                <w:right w:val="nil"/>
                <w:between w:val="nil"/>
              </w:pBdr>
              <w:spacing w:line="276" w:lineRule="auto"/>
              <w:jc w:val="both"/>
            </w:pPr>
            <w:r>
              <w:rPr>
                <w:color w:val="000000"/>
              </w:rPr>
              <w:t>Le fonti del diritto interne ed esterne</w:t>
            </w:r>
          </w:p>
          <w:p w:rsidR="006B22E1" w:rsidRDefault="00000000">
            <w:pPr>
              <w:numPr>
                <w:ilvl w:val="0"/>
                <w:numId w:val="4"/>
              </w:numPr>
              <w:pBdr>
                <w:top w:val="nil"/>
                <w:left w:val="nil"/>
                <w:bottom w:val="nil"/>
                <w:right w:val="nil"/>
                <w:between w:val="nil"/>
              </w:pBdr>
              <w:spacing w:line="276" w:lineRule="auto"/>
              <w:jc w:val="both"/>
            </w:pPr>
            <w:r>
              <w:rPr>
                <w:color w:val="000000"/>
              </w:rPr>
              <w:t>Le organizzazioni internazionali e le loro funzioni</w:t>
            </w:r>
          </w:p>
          <w:p w:rsidR="006B22E1" w:rsidRDefault="006B22E1">
            <w:pPr>
              <w:spacing w:line="276" w:lineRule="auto"/>
              <w:ind w:left="720"/>
              <w:jc w:val="both"/>
            </w:pPr>
          </w:p>
          <w:p w:rsidR="006B22E1" w:rsidRDefault="006B22E1">
            <w:pPr>
              <w:spacing w:line="276" w:lineRule="auto"/>
              <w:ind w:left="720"/>
              <w:jc w:val="both"/>
              <w:rPr>
                <w:rFonts w:ascii="Garamond" w:eastAsia="Garamond" w:hAnsi="Garamond" w:cs="Garamond"/>
              </w:rPr>
            </w:pPr>
          </w:p>
          <w:p w:rsidR="006B22E1" w:rsidRDefault="006B22E1">
            <w:pPr>
              <w:spacing w:line="276" w:lineRule="auto"/>
              <w:ind w:left="720"/>
              <w:jc w:val="both"/>
            </w:pPr>
          </w:p>
        </w:tc>
      </w:tr>
    </w:tbl>
    <w:p w:rsidR="006B22E1" w:rsidRDefault="006B22E1"/>
    <w:p w:rsidR="006B22E1" w:rsidRDefault="006B22E1"/>
    <w:p w:rsidR="006B22E1" w:rsidRDefault="006B22E1"/>
    <w:p w:rsidR="006B22E1" w:rsidRDefault="006B22E1"/>
    <w:p w:rsidR="006B22E1" w:rsidRDefault="006B22E1"/>
    <w:p w:rsidR="006B22E1" w:rsidRDefault="006B22E1"/>
    <w:tbl>
      <w:tblPr>
        <w:tblStyle w:val="a4"/>
        <w:tblW w:w="99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58"/>
        <w:gridCol w:w="7"/>
        <w:gridCol w:w="1894"/>
        <w:gridCol w:w="1639"/>
        <w:gridCol w:w="11"/>
        <w:gridCol w:w="3636"/>
      </w:tblGrid>
      <w:tr w:rsidR="006B22E1">
        <w:trPr>
          <w:trHeight w:val="309"/>
        </w:trPr>
        <w:tc>
          <w:tcPr>
            <w:tcW w:w="2758"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lastRenderedPageBreak/>
              <w:t>Impegno Orario</w:t>
            </w:r>
          </w:p>
        </w:tc>
        <w:tc>
          <w:tcPr>
            <w:tcW w:w="1901"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spacing w:line="276" w:lineRule="auto"/>
              <w:ind w:left="170"/>
              <w:rPr>
                <w:sz w:val="18"/>
                <w:szCs w:val="18"/>
              </w:rPr>
            </w:pPr>
            <w:r>
              <w:rPr>
                <w:sz w:val="18"/>
                <w:szCs w:val="18"/>
              </w:rPr>
              <w:t xml:space="preserve">Durata in ore </w:t>
            </w:r>
          </w:p>
        </w:tc>
        <w:tc>
          <w:tcPr>
            <w:tcW w:w="5286" w:type="dxa"/>
            <w:gridSpan w:val="3"/>
            <w:tcBorders>
              <w:top w:val="single" w:sz="4" w:space="0" w:color="000000"/>
              <w:left w:val="single" w:sz="4" w:space="0" w:color="000000"/>
              <w:bottom w:val="single" w:sz="4" w:space="0" w:color="000000"/>
              <w:right w:val="single" w:sz="4" w:space="0" w:color="000000"/>
            </w:tcBorders>
            <w:vAlign w:val="center"/>
          </w:tcPr>
          <w:p w:rsidR="006B22E1" w:rsidRDefault="00000000">
            <w:pPr>
              <w:spacing w:line="276" w:lineRule="auto"/>
              <w:rPr>
                <w:sz w:val="18"/>
                <w:szCs w:val="18"/>
              </w:rPr>
            </w:pPr>
            <w:r>
              <w:rPr>
                <w:sz w:val="18"/>
                <w:szCs w:val="18"/>
              </w:rPr>
              <w:t>Ore 19 - modulo 3 legge nazionale e diritto internazionale</w:t>
            </w:r>
          </w:p>
        </w:tc>
      </w:tr>
      <w:tr w:rsidR="006B22E1">
        <w:trPr>
          <w:trHeight w:val="705"/>
        </w:trPr>
        <w:tc>
          <w:tcPr>
            <w:tcW w:w="2758"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Metodi Formativi</w:t>
            </w:r>
          </w:p>
          <w:p w:rsidR="006B22E1" w:rsidRDefault="00000000">
            <w:pPr>
              <w:spacing w:line="276" w:lineRule="auto"/>
              <w:jc w:val="center"/>
              <w:rPr>
                <w:color w:val="FF0000"/>
                <w:sz w:val="18"/>
                <w:szCs w:val="18"/>
              </w:rPr>
            </w:pPr>
            <w:r>
              <w:rPr>
                <w:i/>
                <w:sz w:val="18"/>
                <w:szCs w:val="18"/>
              </w:rPr>
              <w:t>È  possibile selezionare più voci</w:t>
            </w:r>
          </w:p>
        </w:tc>
        <w:tc>
          <w:tcPr>
            <w:tcW w:w="3551" w:type="dxa"/>
            <w:gridSpan w:val="4"/>
            <w:tcBorders>
              <w:top w:val="single" w:sz="4" w:space="0" w:color="000000"/>
              <w:left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sz w:val="22"/>
                <w:szCs w:val="22"/>
              </w:rPr>
              <w:t>lezione frontale</w:t>
            </w:r>
          </w:p>
          <w:p w:rsidR="006B22E1"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esercitazioni</w:t>
            </w:r>
          </w:p>
          <w:p w:rsidR="006B22E1"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dialogo formativo</w:t>
            </w:r>
          </w:p>
          <w:p w:rsidR="006B22E1" w:rsidRDefault="00000000">
            <w:pPr>
              <w:rPr>
                <w:rFonts w:ascii="Garamond" w:eastAsia="Garamond" w:hAnsi="Garamond" w:cs="Garamond"/>
              </w:rPr>
            </w:pPr>
            <w:r>
              <w:rPr>
                <w:rFonts w:ascii="Wingdings" w:eastAsia="Wingdings" w:hAnsi="Wingdings" w:cs="Wingdings"/>
              </w:rPr>
              <w:t>⌧</w:t>
            </w:r>
            <w:r>
              <w:rPr>
                <w:sz w:val="22"/>
                <w:szCs w:val="22"/>
              </w:rPr>
              <w:t xml:space="preserve">  </w:t>
            </w:r>
            <w:r>
              <w:rPr>
                <w:rFonts w:ascii="Garamond" w:eastAsia="Garamond" w:hAnsi="Garamond" w:cs="Garamond"/>
              </w:rPr>
              <w:t>problem solving</w:t>
            </w:r>
          </w:p>
          <w:p w:rsidR="006B22E1" w:rsidRDefault="006B22E1">
            <w:pPr>
              <w:spacing w:line="276" w:lineRule="auto"/>
              <w:rPr>
                <w:b/>
                <w:sz w:val="18"/>
                <w:szCs w:val="18"/>
              </w:rPr>
            </w:pPr>
          </w:p>
        </w:tc>
        <w:tc>
          <w:tcPr>
            <w:tcW w:w="3636" w:type="dxa"/>
            <w:tcBorders>
              <w:top w:val="single" w:sz="4" w:space="0" w:color="000000"/>
              <w:left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percorso di autoapprendimento</w:t>
            </w:r>
          </w:p>
          <w:p w:rsidR="006B22E1" w:rsidRDefault="00000000">
            <w:pPr>
              <w:rPr>
                <w:rFonts w:ascii="Garamond" w:eastAsia="Garamond" w:hAnsi="Garamond" w:cs="Garamond"/>
              </w:rPr>
            </w:pPr>
            <w:r>
              <w:rPr>
                <w:rFonts w:ascii="Garamond" w:eastAsia="Garamond" w:hAnsi="Garamond" w:cs="Garamond"/>
              </w:rPr>
              <w:t>□ clil</w:t>
            </w:r>
          </w:p>
          <w:p w:rsidR="006B22E1" w:rsidRDefault="00000000">
            <w:pPr>
              <w:rPr>
                <w:rFonts w:ascii="Garamond" w:eastAsia="Garamond" w:hAnsi="Garamond" w:cs="Garamond"/>
              </w:rPr>
            </w:pPr>
            <w:r>
              <w:rPr>
                <w:rFonts w:ascii="Garamond" w:eastAsia="Garamond" w:hAnsi="Garamond" w:cs="Garamond"/>
              </w:rPr>
              <w:t>□ PCTO</w:t>
            </w:r>
          </w:p>
          <w:p w:rsidR="006B22E1" w:rsidRDefault="00000000">
            <w:pPr>
              <w:spacing w:line="276" w:lineRule="auto"/>
              <w:rPr>
                <w:i/>
                <w:sz w:val="18"/>
                <w:szCs w:val="18"/>
              </w:rPr>
            </w:pPr>
            <w:sdt>
              <w:sdtPr>
                <w:tag w:val="goog_rdk_6"/>
                <w:id w:val="1085797598"/>
              </w:sdtPr>
              <w:sdtContent>
                <w:r>
                  <w:rPr>
                    <w:rFonts w:ascii="Cardo" w:eastAsia="Cardo" w:hAnsi="Cardo" w:cs="Cardo"/>
                  </w:rPr>
                  <w:t>⌧</w:t>
                </w:r>
              </w:sdtContent>
            </w:sdt>
            <w:r>
              <w:rPr>
                <w:rFonts w:ascii="Garamond" w:eastAsia="Garamond" w:hAnsi="Garamond" w:cs="Garamond"/>
              </w:rPr>
              <w:t xml:space="preserve"> Altro: lavoro di gruppo</w:t>
            </w:r>
          </w:p>
        </w:tc>
      </w:tr>
      <w:tr w:rsidR="006B22E1">
        <w:trPr>
          <w:trHeight w:val="456"/>
        </w:trPr>
        <w:tc>
          <w:tcPr>
            <w:tcW w:w="2758"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Mezzi, strumenti</w:t>
            </w:r>
          </w:p>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e sussidi</w:t>
            </w:r>
          </w:p>
        </w:tc>
        <w:tc>
          <w:tcPr>
            <w:tcW w:w="3551" w:type="dxa"/>
            <w:gridSpan w:val="4"/>
            <w:tcBorders>
              <w:top w:val="single" w:sz="4" w:space="0" w:color="000000"/>
              <w:left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PC</w:t>
            </w:r>
          </w:p>
          <w:p w:rsidR="006B22E1" w:rsidRDefault="00000000">
            <w:pPr>
              <w:rPr>
                <w:rFonts w:ascii="Garamond" w:eastAsia="Garamond" w:hAnsi="Garamond" w:cs="Garamond"/>
              </w:rPr>
            </w:pPr>
            <w:r>
              <w:rPr>
                <w:rFonts w:ascii="Garamond" w:eastAsia="Garamond" w:hAnsi="Garamond" w:cs="Garamond"/>
              </w:rPr>
              <w:t xml:space="preserve">     ○ Argo</w:t>
            </w:r>
          </w:p>
          <w:p w:rsidR="006B22E1" w:rsidRDefault="00000000">
            <w:pPr>
              <w:rPr>
                <w:rFonts w:ascii="Garamond" w:eastAsia="Garamond" w:hAnsi="Garamond" w:cs="Garamond"/>
              </w:rPr>
            </w:pPr>
            <w:r>
              <w:rPr>
                <w:rFonts w:ascii="Garamond" w:eastAsia="Garamond" w:hAnsi="Garamond" w:cs="Garamond"/>
              </w:rPr>
              <w:t xml:space="preserve">     ○ GSuite</w:t>
            </w:r>
          </w:p>
          <w:p w:rsidR="006B22E1" w:rsidRDefault="00000000">
            <w:pPr>
              <w:rPr>
                <w:rFonts w:ascii="Garamond" w:eastAsia="Garamond" w:hAnsi="Garamond" w:cs="Garamond"/>
              </w:rPr>
            </w:pPr>
            <w:r>
              <w:rPr>
                <w:rFonts w:ascii="Garamond" w:eastAsia="Garamond" w:hAnsi="Garamond" w:cs="Garamond"/>
              </w:rPr>
              <w:t xml:space="preserve">     ○ Meet</w:t>
            </w:r>
          </w:p>
          <w:p w:rsidR="006B22E1" w:rsidRDefault="00000000">
            <w:pPr>
              <w:rPr>
                <w:rFonts w:ascii="Garamond" w:eastAsia="Garamond" w:hAnsi="Garamond" w:cs="Garamond"/>
              </w:rPr>
            </w:pPr>
            <w:r>
              <w:rPr>
                <w:rFonts w:ascii="Garamond" w:eastAsia="Garamond" w:hAnsi="Garamond" w:cs="Garamond"/>
              </w:rPr>
              <w:t xml:space="preserve">     ○ Moduli Google</w:t>
            </w:r>
          </w:p>
          <w:p w:rsidR="006B22E1" w:rsidRDefault="00000000">
            <w:pPr>
              <w:spacing w:line="276" w:lineRule="auto"/>
              <w:rPr>
                <w:sz w:val="18"/>
                <w:szCs w:val="18"/>
              </w:rPr>
            </w:pPr>
            <w:r>
              <w:rPr>
                <w:rFonts w:ascii="Garamond" w:eastAsia="Garamond" w:hAnsi="Garamond" w:cs="Garamond"/>
              </w:rPr>
              <w:t xml:space="preserve"> </w:t>
            </w:r>
            <w:sdt>
              <w:sdtPr>
                <w:tag w:val="goog_rdk_7"/>
                <w:id w:val="1157727556"/>
              </w:sdtPr>
              <w:sdtContent>
                <w:r>
                  <w:rPr>
                    <w:rFonts w:ascii="Cardo" w:eastAsia="Cardo" w:hAnsi="Cardo" w:cs="Cardo"/>
                  </w:rPr>
                  <w:t>⌧</w:t>
                </w:r>
              </w:sdtContent>
            </w:sdt>
            <w:r>
              <w:rPr>
                <w:rFonts w:ascii="Garamond" w:eastAsia="Garamond" w:hAnsi="Garamond" w:cs="Garamond"/>
              </w:rPr>
              <w:t xml:space="preserve"> virtual - lab</w:t>
            </w:r>
          </w:p>
        </w:tc>
        <w:tc>
          <w:tcPr>
            <w:tcW w:w="3636" w:type="dxa"/>
            <w:tcBorders>
              <w:top w:val="single" w:sz="4" w:space="0" w:color="000000"/>
              <w:left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dispense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libro di testo</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pubblicazioni ed e-book</w:t>
            </w:r>
          </w:p>
          <w:p w:rsidR="006B22E1" w:rsidRDefault="00000000">
            <w:pPr>
              <w:rPr>
                <w:rFonts w:ascii="Garamond" w:eastAsia="Garamond" w:hAnsi="Garamond" w:cs="Garamond"/>
                <w:sz w:val="18"/>
                <w:szCs w:val="18"/>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apparati multimediali</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Codice Civile</w:t>
            </w:r>
          </w:p>
          <w:p w:rsidR="006B22E1" w:rsidRDefault="00000000">
            <w:pPr>
              <w:spacing w:line="276" w:lineRule="auto"/>
              <w:rPr>
                <w:sz w:val="18"/>
                <w:szCs w:val="18"/>
              </w:rPr>
            </w:pPr>
            <w:sdt>
              <w:sdtPr>
                <w:tag w:val="goog_rdk_8"/>
                <w:id w:val="-417944881"/>
              </w:sdtPr>
              <w:sdtContent>
                <w:r>
                  <w:rPr>
                    <w:rFonts w:ascii="Cardo" w:eastAsia="Cardo" w:hAnsi="Cardo" w:cs="Cardo"/>
                  </w:rPr>
                  <w:t>⌧</w:t>
                </w:r>
              </w:sdtContent>
            </w:sdt>
            <w:r>
              <w:rPr>
                <w:rFonts w:ascii="Garamond" w:eastAsia="Garamond" w:hAnsi="Garamond" w:cs="Garamond"/>
              </w:rPr>
              <w:t xml:space="preserve"> Codice della Navigazione</w:t>
            </w:r>
          </w:p>
        </w:tc>
      </w:tr>
      <w:tr w:rsidR="006B22E1">
        <w:trPr>
          <w:trHeight w:val="359"/>
        </w:trPr>
        <w:tc>
          <w:tcPr>
            <w:tcW w:w="9945" w:type="dxa"/>
            <w:gridSpan w:val="6"/>
            <w:tcBorders>
              <w:top w:val="single" w:sz="4" w:space="0" w:color="000000"/>
              <w:left w:val="single" w:sz="4" w:space="0" w:color="000000"/>
              <w:bottom w:val="single" w:sz="4" w:space="0" w:color="000000"/>
              <w:right w:val="single" w:sz="4" w:space="0" w:color="000000"/>
            </w:tcBorders>
            <w:shd w:val="clear" w:color="auto" w:fill="002060"/>
            <w:vAlign w:val="center"/>
          </w:tcPr>
          <w:p w:rsidR="006B22E1" w:rsidRDefault="00000000">
            <w:pPr>
              <w:pStyle w:val="Titolo2"/>
              <w:spacing w:line="276" w:lineRule="auto"/>
              <w:jc w:val="center"/>
              <w:rPr>
                <w:rFonts w:ascii="Times New Roman" w:hAnsi="Times New Roman"/>
                <w:smallCaps/>
                <w:sz w:val="18"/>
                <w:szCs w:val="18"/>
              </w:rPr>
            </w:pPr>
            <w:r>
              <w:rPr>
                <w:rFonts w:ascii="Times New Roman" w:hAnsi="Times New Roman"/>
                <w:smallCaps/>
                <w:sz w:val="18"/>
                <w:szCs w:val="18"/>
              </w:rPr>
              <w:t>Verifiche E Criteri Di Valutazione</w:t>
            </w:r>
          </w:p>
        </w:tc>
      </w:tr>
      <w:tr w:rsidR="006B22E1">
        <w:trPr>
          <w:trHeight w:val="837"/>
        </w:trPr>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In itinere</w:t>
            </w:r>
          </w:p>
        </w:tc>
        <w:tc>
          <w:tcPr>
            <w:tcW w:w="3533"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Garamond" w:eastAsia="Garamond" w:hAnsi="Garamond" w:cs="Garamond"/>
              </w:rPr>
              <w:t>□ prova strutturata</w:t>
            </w:r>
          </w:p>
          <w:p w:rsidR="006B22E1" w:rsidRDefault="00000000">
            <w:pPr>
              <w:rPr>
                <w:rFonts w:ascii="Garamond" w:eastAsia="Garamond" w:hAnsi="Garamond" w:cs="Garamond"/>
              </w:rPr>
            </w:pPr>
            <w:r>
              <w:rPr>
                <w:rFonts w:ascii="Garamond" w:eastAsia="Garamond" w:hAnsi="Garamond" w:cs="Garamond"/>
              </w:rPr>
              <w:t>□ prova semistrutturata</w:t>
            </w:r>
          </w:p>
          <w:p w:rsidR="006B22E1" w:rsidRDefault="00000000">
            <w:pPr>
              <w:rPr>
                <w:rFonts w:ascii="Garamond" w:eastAsia="Garamond" w:hAnsi="Garamond" w:cs="Garamond"/>
              </w:rPr>
            </w:pPr>
            <w:r>
              <w:rPr>
                <w:rFonts w:ascii="Garamond" w:eastAsia="Garamond" w:hAnsi="Garamond" w:cs="Garamond"/>
              </w:rPr>
              <w:t>□ prova in laboratorio</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6B22E1" w:rsidRDefault="00000000">
            <w:pPr>
              <w:rPr>
                <w:rFonts w:ascii="Garamond" w:eastAsia="Garamond" w:hAnsi="Garamond" w:cs="Garamond"/>
              </w:rPr>
            </w:pP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griglie di osservazione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comprensione del testo</w:t>
            </w:r>
          </w:p>
          <w:p w:rsidR="006B22E1" w:rsidRDefault="00000000">
            <w:pPr>
              <w:rPr>
                <w:rFonts w:ascii="Garamond" w:eastAsia="Garamond" w:hAnsi="Garamond" w:cs="Garamond"/>
              </w:rPr>
            </w:pPr>
            <w:r>
              <w:rPr>
                <w:rFonts w:ascii="Garamond" w:eastAsia="Garamond" w:hAnsi="Garamond" w:cs="Garamond"/>
              </w:rPr>
              <w:t>□    prova di simulazione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verifica orale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6B22E1" w:rsidRDefault="00000000">
            <w:pPr>
              <w:spacing w:line="276" w:lineRule="auto"/>
              <w:rPr>
                <w:sz w:val="18"/>
                <w:szCs w:val="18"/>
              </w:rPr>
            </w:pPr>
            <w:r>
              <w:rPr>
                <w:rFonts w:ascii="Garamond" w:eastAsia="Garamond" w:hAnsi="Garamond" w:cs="Garamond"/>
              </w:rPr>
              <w:t>□    elaborazioni grafiche</w:t>
            </w:r>
          </w:p>
        </w:tc>
        <w:tc>
          <w:tcPr>
            <w:tcW w:w="3647" w:type="dxa"/>
            <w:gridSpan w:val="2"/>
            <w:vMerge w:val="restart"/>
            <w:tcBorders>
              <w:top w:val="single" w:sz="4" w:space="0" w:color="000000"/>
              <w:left w:val="single" w:sz="4" w:space="0" w:color="000000"/>
              <w:bottom w:val="single" w:sz="4" w:space="0" w:color="000000"/>
              <w:right w:val="single" w:sz="4" w:space="0" w:color="000000"/>
            </w:tcBorders>
            <w:vAlign w:val="center"/>
          </w:tcPr>
          <w:p w:rsidR="006B22E1" w:rsidRDefault="00000000">
            <w:pPr>
              <w:spacing w:line="276" w:lineRule="auto"/>
              <w:rPr>
                <w:rFonts w:ascii="Garamond" w:eastAsia="Garamond" w:hAnsi="Garamond" w:cs="Garamond"/>
              </w:rPr>
            </w:pPr>
            <w:r>
              <w:rPr>
                <w:noProof/>
              </w:rPr>
              <mc:AlternateContent>
                <mc:Choice Requires="wpg">
                  <w:drawing>
                    <wp:anchor distT="0" distB="0" distL="114300" distR="114300" simplePos="0" relativeHeight="251660288" behindDoc="0" locked="0" layoutInCell="1" hidden="0" allowOverlap="1">
                      <wp:simplePos x="0" y="0"/>
                      <wp:positionH relativeFrom="column">
                        <wp:posOffset>330200</wp:posOffset>
                      </wp:positionH>
                      <wp:positionV relativeFrom="paragraph">
                        <wp:posOffset>25400</wp:posOffset>
                      </wp:positionV>
                      <wp:extent cx="1591945" cy="285750"/>
                      <wp:effectExtent l="0" t="0" r="0" b="0"/>
                      <wp:wrapNone/>
                      <wp:docPr id="8" name="Rettangolo 8"/>
                      <wp:cNvGraphicFramePr/>
                      <a:graphic xmlns:a="http://schemas.openxmlformats.org/drawingml/2006/main">
                        <a:graphicData uri="http://schemas.microsoft.com/office/word/2010/wordprocessingShape">
                          <wps:wsp>
                            <wps:cNvSpPr/>
                            <wps:spPr>
                              <a:xfrm>
                                <a:off x="4554790" y="3641888"/>
                                <a:ext cx="1582420" cy="276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B22E1" w:rsidRDefault="00000000">
                                  <w:pPr>
                                    <w:textDirection w:val="btLr"/>
                                  </w:pPr>
                                  <w:r>
                                    <w:rPr>
                                      <w:color w:val="000000"/>
                                    </w:rPr>
                                    <w:t>Criteri di Valutazione</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330200</wp:posOffset>
                      </wp:positionH>
                      <wp:positionV relativeFrom="paragraph">
                        <wp:posOffset>25400</wp:posOffset>
                      </wp:positionV>
                      <wp:extent cx="1591945" cy="285750"/>
                      <wp:effectExtent b="0" l="0" r="0" t="0"/>
                      <wp:wrapNone/>
                      <wp:docPr id="8"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1591945" cy="285750"/>
                              </a:xfrm>
                              <a:prstGeom prst="rect"/>
                              <a:ln/>
                            </pic:spPr>
                          </pic:pic>
                        </a:graphicData>
                      </a:graphic>
                    </wp:anchor>
                  </w:drawing>
                </mc:Fallback>
              </mc:AlternateContent>
            </w:r>
          </w:p>
          <w:p w:rsidR="006B22E1" w:rsidRDefault="006B22E1">
            <w:pPr>
              <w:spacing w:line="276" w:lineRule="auto"/>
              <w:rPr>
                <w:rFonts w:ascii="Garamond" w:eastAsia="Garamond" w:hAnsi="Garamond" w:cs="Garamond"/>
              </w:rPr>
            </w:pPr>
          </w:p>
          <w:p w:rsidR="006B22E1" w:rsidRDefault="006B22E1">
            <w:pPr>
              <w:spacing w:line="276" w:lineRule="auto"/>
              <w:rPr>
                <w:rFonts w:ascii="Garamond" w:eastAsia="Garamond" w:hAnsi="Garamond" w:cs="Garamond"/>
              </w:rPr>
            </w:pPr>
          </w:p>
          <w:p w:rsidR="006B22E1" w:rsidRDefault="00000000">
            <w:pPr>
              <w:jc w:val="both"/>
              <w:rPr>
                <w:rFonts w:ascii="Garamond" w:eastAsia="Garamond" w:hAnsi="Garamond" w:cs="Garamond"/>
              </w:rPr>
            </w:pPr>
            <w:r>
              <w:rPr>
                <w:rFonts w:ascii="Garamond" w:eastAsia="Garamond" w:hAnsi="Garamond" w:cs="Garamond"/>
              </w:rPr>
              <w:t xml:space="preserve">I criteri di valutazione per le prove sono quelli riportati nel P.T.O.F.; </w:t>
            </w:r>
          </w:p>
          <w:p w:rsidR="006B22E1" w:rsidRDefault="006B22E1">
            <w:pPr>
              <w:jc w:val="both"/>
              <w:rPr>
                <w:rFonts w:ascii="Garamond" w:eastAsia="Garamond" w:hAnsi="Garamond" w:cs="Garamond"/>
              </w:rPr>
            </w:pPr>
          </w:p>
          <w:p w:rsidR="006B22E1" w:rsidRDefault="006B22E1">
            <w:pPr>
              <w:jc w:val="both"/>
              <w:rPr>
                <w:rFonts w:ascii="Garamond" w:eastAsia="Garamond" w:hAnsi="Garamond" w:cs="Garamond"/>
              </w:rPr>
            </w:pPr>
          </w:p>
          <w:p w:rsidR="006B22E1" w:rsidRDefault="00000000">
            <w:pPr>
              <w:spacing w:line="276" w:lineRule="auto"/>
              <w:jc w:val="both"/>
              <w:rPr>
                <w:rFonts w:ascii="Garamond" w:eastAsia="Garamond" w:hAnsi="Garamond" w:cs="Garamond"/>
              </w:rPr>
            </w:pPr>
            <w:r>
              <w:rPr>
                <w:rFonts w:ascii="Garamond" w:eastAsia="Garamond" w:hAnsi="Garamond" w:cs="Garamond"/>
              </w:rPr>
              <w:t>Nella valutazione finale si tiene conto del profitto, dell’impegno, della partecipazione attiva alle lezioni in presenza e in modalità didattica integrata e dei progressi compiuti dall’allievo nella sua attività di apprendimento.</w:t>
            </w:r>
          </w:p>
        </w:tc>
      </w:tr>
      <w:tr w:rsidR="006B22E1">
        <w:trPr>
          <w:trHeight w:val="2863"/>
        </w:trPr>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Fine modulo</w:t>
            </w:r>
          </w:p>
        </w:tc>
        <w:tc>
          <w:tcPr>
            <w:tcW w:w="3533"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Garamond" w:eastAsia="Garamond" w:hAnsi="Garamond" w:cs="Garamond"/>
              </w:rPr>
              <w:t>□ prova strutturata</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prova semistrutturata</w:t>
            </w:r>
          </w:p>
          <w:p w:rsidR="006B22E1" w:rsidRDefault="00000000">
            <w:pPr>
              <w:rPr>
                <w:rFonts w:ascii="Garamond" w:eastAsia="Garamond" w:hAnsi="Garamond" w:cs="Garamond"/>
              </w:rPr>
            </w:pPr>
            <w:r>
              <w:rPr>
                <w:rFonts w:ascii="Garamond" w:eastAsia="Garamond" w:hAnsi="Garamond" w:cs="Garamond"/>
              </w:rPr>
              <w:t>□  prova in laboratorio</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6B22E1" w:rsidRDefault="00000000">
            <w:pPr>
              <w:rPr>
                <w:rFonts w:ascii="Garamond" w:eastAsia="Garamond" w:hAnsi="Garamond" w:cs="Garamond"/>
              </w:rPr>
            </w:pPr>
            <w:r>
              <w:rPr>
                <w:rFonts w:ascii="Garamond" w:eastAsia="Garamond" w:hAnsi="Garamond" w:cs="Garamond"/>
                <w:i/>
              </w:rPr>
              <w:t xml:space="preserve">□  </w:t>
            </w:r>
            <w:r>
              <w:rPr>
                <w:rFonts w:ascii="Garamond" w:eastAsia="Garamond" w:hAnsi="Garamond" w:cs="Garamond"/>
              </w:rPr>
              <w:t>griglie di osservazione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comprensione del testo</w:t>
            </w:r>
          </w:p>
          <w:p w:rsidR="006B22E1" w:rsidRDefault="00000000">
            <w:pPr>
              <w:rPr>
                <w:rFonts w:ascii="Garamond" w:eastAsia="Garamond" w:hAnsi="Garamond" w:cs="Garamond"/>
              </w:rPr>
            </w:pPr>
            <w:r>
              <w:rPr>
                <w:rFonts w:ascii="Garamond" w:eastAsia="Garamond" w:hAnsi="Garamond" w:cs="Garamond"/>
              </w:rPr>
              <w:t>□  prova di simulazione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6B22E1" w:rsidRDefault="00000000">
            <w:pPr>
              <w:spacing w:line="276" w:lineRule="auto"/>
              <w:rPr>
                <w:sz w:val="18"/>
                <w:szCs w:val="18"/>
              </w:rPr>
            </w:pPr>
            <w:r>
              <w:rPr>
                <w:rFonts w:ascii="Garamond" w:eastAsia="Garamond" w:hAnsi="Garamond" w:cs="Garamond"/>
              </w:rPr>
              <w:t>□  elaborazioni grafiche</w:t>
            </w:r>
          </w:p>
        </w:tc>
        <w:tc>
          <w:tcPr>
            <w:tcW w:w="3647" w:type="dxa"/>
            <w:gridSpan w:val="2"/>
            <w:vMerge/>
            <w:tcBorders>
              <w:top w:val="single" w:sz="4" w:space="0" w:color="000000"/>
              <w:left w:val="single" w:sz="4" w:space="0" w:color="000000"/>
              <w:bottom w:val="single" w:sz="4" w:space="0" w:color="000000"/>
              <w:right w:val="single" w:sz="4" w:space="0" w:color="000000"/>
            </w:tcBorders>
            <w:vAlign w:val="center"/>
          </w:tcPr>
          <w:p w:rsidR="006B22E1" w:rsidRDefault="006B22E1">
            <w:pPr>
              <w:widowControl w:val="0"/>
              <w:pBdr>
                <w:top w:val="nil"/>
                <w:left w:val="nil"/>
                <w:bottom w:val="nil"/>
                <w:right w:val="nil"/>
                <w:between w:val="nil"/>
              </w:pBdr>
              <w:spacing w:line="276" w:lineRule="auto"/>
              <w:rPr>
                <w:sz w:val="18"/>
                <w:szCs w:val="18"/>
              </w:rPr>
            </w:pPr>
          </w:p>
        </w:tc>
      </w:tr>
      <w:tr w:rsidR="006B22E1">
        <w:trPr>
          <w:trHeight w:val="408"/>
        </w:trPr>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 xml:space="preserve">Livelli minimi per le </w:t>
            </w:r>
          </w:p>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verifiche</w:t>
            </w:r>
          </w:p>
        </w:tc>
        <w:tc>
          <w:tcPr>
            <w:tcW w:w="7180" w:type="dxa"/>
            <w:gridSpan w:val="4"/>
            <w:tcBorders>
              <w:top w:val="single" w:sz="4" w:space="0" w:color="000000"/>
              <w:left w:val="single" w:sz="4" w:space="0" w:color="000000"/>
              <w:bottom w:val="single" w:sz="4" w:space="0" w:color="000000"/>
              <w:right w:val="single" w:sz="4" w:space="0" w:color="000000"/>
            </w:tcBorders>
            <w:vAlign w:val="center"/>
          </w:tcPr>
          <w:p w:rsidR="006B22E1" w:rsidRDefault="00000000">
            <w:pPr>
              <w:spacing w:line="276" w:lineRule="auto"/>
              <w:jc w:val="both"/>
              <w:rPr>
                <w:rFonts w:ascii="Garamond" w:eastAsia="Garamond" w:hAnsi="Garamond" w:cs="Garamond"/>
              </w:rPr>
            </w:pPr>
            <w:r>
              <w:rPr>
                <w:rFonts w:ascii="Garamond" w:eastAsia="Garamond" w:hAnsi="Garamond" w:cs="Garamond"/>
              </w:rPr>
              <w:t>Conoscenze ed abilità essenziali sul rapporto tra fonti interne ed esterne; saper distinguere tra Convenzioni e Trattati. Regolamenti, direttive e raccomandazioni</w:t>
            </w:r>
          </w:p>
        </w:tc>
      </w:tr>
      <w:tr w:rsidR="006B22E1">
        <w:trPr>
          <w:trHeight w:val="408"/>
        </w:trPr>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 xml:space="preserve">Azioni di recupero e di </w:t>
            </w:r>
          </w:p>
          <w:p w:rsidR="006B22E1" w:rsidRDefault="00000000">
            <w:pPr>
              <w:pStyle w:val="Titolo2"/>
              <w:spacing w:line="276" w:lineRule="auto"/>
              <w:jc w:val="center"/>
              <w:rPr>
                <w:rFonts w:ascii="Times New Roman" w:hAnsi="Times New Roman"/>
                <w:sz w:val="18"/>
                <w:szCs w:val="18"/>
              </w:rPr>
            </w:pPr>
            <w:r>
              <w:rPr>
                <w:rFonts w:ascii="Times New Roman" w:hAnsi="Times New Roman"/>
                <w:sz w:val="20"/>
                <w:szCs w:val="20"/>
              </w:rPr>
              <w:t>approfondimento</w:t>
            </w:r>
          </w:p>
        </w:tc>
        <w:tc>
          <w:tcPr>
            <w:tcW w:w="7180" w:type="dxa"/>
            <w:gridSpan w:val="4"/>
            <w:tcBorders>
              <w:top w:val="single" w:sz="4" w:space="0" w:color="000000"/>
              <w:left w:val="single" w:sz="4" w:space="0" w:color="000000"/>
              <w:bottom w:val="single" w:sz="4" w:space="0" w:color="000000"/>
              <w:right w:val="single" w:sz="4" w:space="0" w:color="000000"/>
            </w:tcBorders>
            <w:vAlign w:val="center"/>
          </w:tcPr>
          <w:p w:rsidR="006B22E1" w:rsidRDefault="00000000">
            <w:pPr>
              <w:jc w:val="both"/>
              <w:rPr>
                <w:rFonts w:ascii="Garamond" w:eastAsia="Garamond" w:hAnsi="Garamond" w:cs="Garamond"/>
              </w:rPr>
            </w:pPr>
            <w:r>
              <w:rPr>
                <w:rFonts w:ascii="Garamond" w:eastAsia="Garamond" w:hAnsi="Garamond" w:cs="Garamond"/>
              </w:rPr>
              <w:t xml:space="preserve">Il recupero curriculare sarà costante al fine di favorire l’apprendimento degli alunni più fragili nonché il potenziamento di quelli più rispondenti; a seguito degli esiti del primo trimestre, nel mese di gennaio, verranno riesaminati le tematiche già svolte per consentire il recupero di chi ha riportato le insufficienze. </w:t>
            </w:r>
          </w:p>
          <w:p w:rsidR="006B22E1" w:rsidRDefault="00000000">
            <w:pPr>
              <w:spacing w:line="276" w:lineRule="auto"/>
              <w:jc w:val="both"/>
              <w:rPr>
                <w:rFonts w:ascii="Garamond" w:eastAsia="Garamond" w:hAnsi="Garamond" w:cs="Garamond"/>
              </w:rPr>
            </w:pPr>
            <w:r>
              <w:rPr>
                <w:rFonts w:ascii="Garamond" w:eastAsia="Garamond" w:hAnsi="Garamond" w:cs="Garamond"/>
              </w:rPr>
              <w:t>L’approfondimento consisterà nella produzione di lavori di ricerca su tematiche particolarmente significative quali: TUE e TFUE</w:t>
            </w:r>
          </w:p>
        </w:tc>
      </w:tr>
    </w:tbl>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6B22E1">
      <w:pPr>
        <w:rPr>
          <w:rFonts w:ascii="Garamond" w:eastAsia="Garamond" w:hAnsi="Garamond" w:cs="Garamond"/>
          <w:b/>
        </w:rPr>
      </w:pPr>
    </w:p>
    <w:p w:rsidR="006B22E1" w:rsidRDefault="00000000">
      <w:pPr>
        <w:rPr>
          <w:rFonts w:ascii="Garamond" w:eastAsia="Garamond" w:hAnsi="Garamond" w:cs="Garamond"/>
          <w:b/>
        </w:rPr>
      </w:pPr>
      <w:r>
        <w:rPr>
          <w:rFonts w:ascii="Garamond" w:eastAsia="Garamond" w:hAnsi="Garamond" w:cs="Garamond"/>
          <w:b/>
        </w:rPr>
        <w:t xml:space="preserve">MODULO N. 4     </w:t>
      </w:r>
      <w:r>
        <w:rPr>
          <w:rFonts w:ascii="Garamond" w:eastAsia="Garamond" w:hAnsi="Garamond" w:cs="Garamond"/>
          <w:b/>
        </w:rPr>
        <w:tab/>
        <w:t>L’IMPRESA E LA SOCIETA’</w:t>
      </w:r>
    </w:p>
    <w:p w:rsidR="006B22E1" w:rsidRDefault="006B22E1">
      <w:pPr>
        <w:rPr>
          <w:sz w:val="16"/>
          <w:szCs w:val="16"/>
        </w:rPr>
      </w:pPr>
    </w:p>
    <w:tbl>
      <w:tblPr>
        <w:tblStyle w:val="a5"/>
        <w:tblW w:w="1050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7557"/>
      </w:tblGrid>
      <w:tr w:rsidR="006B22E1">
        <w:trPr>
          <w:trHeight w:val="1001"/>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 xml:space="preserve">Prerequisiti </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pBdr>
                <w:top w:val="nil"/>
                <w:left w:val="nil"/>
                <w:bottom w:val="nil"/>
                <w:right w:val="nil"/>
                <w:between w:val="nil"/>
              </w:pBdr>
              <w:spacing w:line="276" w:lineRule="auto"/>
              <w:ind w:left="716"/>
              <w:jc w:val="both"/>
              <w:rPr>
                <w:color w:val="000000"/>
              </w:rPr>
            </w:pPr>
          </w:p>
          <w:p w:rsidR="006B22E1" w:rsidRDefault="00000000">
            <w:pPr>
              <w:numPr>
                <w:ilvl w:val="0"/>
                <w:numId w:val="2"/>
              </w:numPr>
              <w:pBdr>
                <w:top w:val="nil"/>
                <w:left w:val="nil"/>
                <w:bottom w:val="nil"/>
                <w:right w:val="nil"/>
                <w:between w:val="nil"/>
              </w:pBdr>
              <w:spacing w:line="276" w:lineRule="auto"/>
              <w:ind w:left="537" w:hanging="284"/>
              <w:jc w:val="both"/>
              <w:rPr>
                <w:rFonts w:ascii="Garamond" w:eastAsia="Garamond" w:hAnsi="Garamond" w:cs="Garamond"/>
                <w:color w:val="000000"/>
              </w:rPr>
            </w:pPr>
            <w:r>
              <w:rPr>
                <w:rFonts w:ascii="Garamond" w:eastAsia="Garamond" w:hAnsi="Garamond" w:cs="Garamond"/>
                <w:color w:val="000000"/>
              </w:rPr>
              <w:t xml:space="preserve">Conoscere l’oggetto del diritto commerciale; </w:t>
            </w:r>
          </w:p>
          <w:p w:rsidR="006B22E1" w:rsidRDefault="00000000">
            <w:pPr>
              <w:numPr>
                <w:ilvl w:val="0"/>
                <w:numId w:val="2"/>
              </w:numPr>
              <w:pBdr>
                <w:top w:val="nil"/>
                <w:left w:val="nil"/>
                <w:bottom w:val="nil"/>
                <w:right w:val="nil"/>
                <w:between w:val="nil"/>
              </w:pBdr>
              <w:spacing w:line="276" w:lineRule="auto"/>
              <w:ind w:left="537" w:hanging="284"/>
              <w:jc w:val="both"/>
              <w:rPr>
                <w:rFonts w:ascii="Garamond" w:eastAsia="Garamond" w:hAnsi="Garamond" w:cs="Garamond"/>
                <w:color w:val="000000"/>
              </w:rPr>
            </w:pPr>
            <w:r>
              <w:rPr>
                <w:rFonts w:ascii="Garamond" w:eastAsia="Garamond" w:hAnsi="Garamond" w:cs="Garamond"/>
                <w:color w:val="000000"/>
              </w:rPr>
              <w:t>Individuare il libro del c.c. dedicato alla disciplina dell’impresa;</w:t>
            </w:r>
          </w:p>
          <w:p w:rsidR="006B22E1" w:rsidRDefault="00000000">
            <w:pPr>
              <w:numPr>
                <w:ilvl w:val="0"/>
                <w:numId w:val="2"/>
              </w:numPr>
              <w:pBdr>
                <w:top w:val="nil"/>
                <w:left w:val="nil"/>
                <w:bottom w:val="nil"/>
                <w:right w:val="nil"/>
                <w:between w:val="nil"/>
              </w:pBdr>
              <w:spacing w:line="276" w:lineRule="auto"/>
              <w:ind w:left="537" w:hanging="284"/>
              <w:jc w:val="both"/>
              <w:rPr>
                <w:rFonts w:ascii="Garamond" w:eastAsia="Garamond" w:hAnsi="Garamond" w:cs="Garamond"/>
                <w:color w:val="000000"/>
              </w:rPr>
            </w:pPr>
            <w:r>
              <w:rPr>
                <w:rFonts w:ascii="Garamond" w:eastAsia="Garamond" w:hAnsi="Garamond" w:cs="Garamond"/>
                <w:color w:val="000000"/>
              </w:rPr>
              <w:t>Il ruolo e le responsabilità dell’imprenditore</w:t>
            </w:r>
          </w:p>
          <w:p w:rsidR="006B22E1" w:rsidRDefault="006B22E1">
            <w:pPr>
              <w:pBdr>
                <w:top w:val="nil"/>
                <w:left w:val="nil"/>
                <w:bottom w:val="nil"/>
                <w:right w:val="nil"/>
                <w:between w:val="nil"/>
              </w:pBdr>
              <w:spacing w:line="276" w:lineRule="auto"/>
              <w:ind w:left="716"/>
              <w:jc w:val="both"/>
              <w:rPr>
                <w:color w:val="000000"/>
              </w:rPr>
            </w:pPr>
          </w:p>
        </w:tc>
      </w:tr>
      <w:tr w:rsidR="006B22E1">
        <w:trPr>
          <w:trHeight w:val="950"/>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Discipline coinvolte</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spacing w:line="276" w:lineRule="auto"/>
              <w:jc w:val="both"/>
            </w:pPr>
          </w:p>
        </w:tc>
      </w:tr>
      <w:tr w:rsidR="006B22E1">
        <w:trPr>
          <w:trHeight w:val="540"/>
          <w:jc w:val="center"/>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002060"/>
            <w:vAlign w:val="center"/>
          </w:tcPr>
          <w:p w:rsidR="006B22E1" w:rsidRDefault="00000000">
            <w:pPr>
              <w:spacing w:line="276" w:lineRule="auto"/>
              <w:ind w:left="68" w:right="181"/>
              <w:jc w:val="center"/>
              <w:rPr>
                <w:smallCaps/>
                <w:color w:val="0070C0"/>
                <w:sz w:val="28"/>
                <w:szCs w:val="28"/>
              </w:rPr>
            </w:pPr>
            <w:r>
              <w:rPr>
                <w:b/>
                <w:smallCaps/>
                <w:sz w:val="28"/>
                <w:szCs w:val="28"/>
              </w:rPr>
              <w:t>Abilità</w:t>
            </w:r>
          </w:p>
        </w:tc>
      </w:tr>
      <w:tr w:rsidR="006B22E1">
        <w:trPr>
          <w:trHeight w:val="885"/>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 xml:space="preserve">Abilità LLGG </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pBdr>
                <w:top w:val="nil"/>
                <w:left w:val="nil"/>
                <w:bottom w:val="nil"/>
                <w:right w:val="nil"/>
                <w:between w:val="nil"/>
              </w:pBdr>
              <w:spacing w:before="120" w:line="276" w:lineRule="auto"/>
              <w:ind w:left="720" w:right="181"/>
              <w:jc w:val="both"/>
              <w:rPr>
                <w:color w:val="000000"/>
              </w:rPr>
            </w:pPr>
          </w:p>
          <w:p w:rsidR="006B22E1" w:rsidRDefault="00000000">
            <w:pPr>
              <w:numPr>
                <w:ilvl w:val="0"/>
                <w:numId w:val="2"/>
              </w:numPr>
              <w:pBdr>
                <w:top w:val="nil"/>
                <w:left w:val="nil"/>
                <w:bottom w:val="nil"/>
                <w:right w:val="nil"/>
                <w:between w:val="nil"/>
              </w:pBdr>
              <w:spacing w:line="276" w:lineRule="auto"/>
              <w:ind w:left="537" w:right="181" w:hanging="284"/>
              <w:jc w:val="both"/>
              <w:rPr>
                <w:rFonts w:ascii="Garamond" w:eastAsia="Garamond" w:hAnsi="Garamond" w:cs="Garamond"/>
                <w:color w:val="000000"/>
              </w:rPr>
            </w:pPr>
            <w:r>
              <w:rPr>
                <w:rFonts w:ascii="Garamond" w:eastAsia="Garamond" w:hAnsi="Garamond" w:cs="Garamond"/>
                <w:color w:val="000000"/>
              </w:rPr>
              <w:t>Descrivere il ruolo dell’imprenditore e le diverse tipologie d’impresa</w:t>
            </w:r>
          </w:p>
          <w:p w:rsidR="006B22E1" w:rsidRDefault="006B22E1">
            <w:pPr>
              <w:pBdr>
                <w:top w:val="nil"/>
                <w:left w:val="nil"/>
                <w:bottom w:val="nil"/>
                <w:right w:val="nil"/>
                <w:between w:val="nil"/>
              </w:pBdr>
              <w:spacing w:after="120" w:line="276" w:lineRule="auto"/>
              <w:ind w:left="720" w:right="181"/>
              <w:jc w:val="both"/>
              <w:rPr>
                <w:color w:val="000000"/>
              </w:rPr>
            </w:pPr>
          </w:p>
        </w:tc>
      </w:tr>
      <w:tr w:rsidR="006B22E1">
        <w:trPr>
          <w:trHeight w:val="551"/>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 xml:space="preserve">Abilità </w:t>
            </w:r>
          </w:p>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da formulare</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pBdr>
                <w:top w:val="nil"/>
                <w:left w:val="nil"/>
                <w:bottom w:val="nil"/>
                <w:right w:val="nil"/>
                <w:between w:val="nil"/>
              </w:pBdr>
              <w:spacing w:line="276" w:lineRule="auto"/>
              <w:rPr>
                <w:color w:val="000000"/>
              </w:rPr>
            </w:pP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Definire l’imprenditore, distinguendo l’imprenditore agricolo da quello commerciale in relazione alle diverse attività svolte;</w:t>
            </w: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Descrivere le figure del piccolo imprenditore e dell’imprenditore artigiano, rilevandone differenze ed affinità;</w:t>
            </w: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Descrivere caratteristiche e disciplina dell’impresa familiare;</w:t>
            </w: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Definire i compiti e responsabilità dell’institore, del procuratore e del commesso;</w:t>
            </w: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Operare l’analisi testuale dell’art. 2082 c.c.;</w:t>
            </w: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Essere consapevoli dell’importanza della qualificazione giuridica dell’attività imprenditoriale ai fini dell’applicazione della relativa disciplina;</w:t>
            </w:r>
          </w:p>
          <w:p w:rsidR="006B22E1" w:rsidRDefault="00000000">
            <w:pPr>
              <w:numPr>
                <w:ilvl w:val="0"/>
                <w:numId w:val="6"/>
              </w:numPr>
              <w:pBdr>
                <w:top w:val="nil"/>
                <w:left w:val="nil"/>
                <w:bottom w:val="nil"/>
                <w:right w:val="nil"/>
                <w:between w:val="nil"/>
              </w:pBdr>
              <w:spacing w:line="276" w:lineRule="auto"/>
              <w:ind w:left="537" w:right="282" w:hanging="277"/>
              <w:jc w:val="both"/>
              <w:rPr>
                <w:rFonts w:ascii="Garamond" w:eastAsia="Garamond" w:hAnsi="Garamond" w:cs="Garamond"/>
                <w:color w:val="000000"/>
              </w:rPr>
            </w:pPr>
            <w:r>
              <w:rPr>
                <w:rFonts w:ascii="Garamond" w:eastAsia="Garamond" w:hAnsi="Garamond" w:cs="Garamond"/>
                <w:color w:val="000000"/>
              </w:rPr>
              <w:t>Definire i vari tipi di società e descriverne l’ambito di autonomia patrimoniale</w:t>
            </w:r>
          </w:p>
          <w:p w:rsidR="006B22E1" w:rsidRDefault="006B22E1">
            <w:pPr>
              <w:pBdr>
                <w:top w:val="nil"/>
                <w:left w:val="nil"/>
                <w:bottom w:val="nil"/>
                <w:right w:val="nil"/>
                <w:between w:val="nil"/>
              </w:pBdr>
              <w:tabs>
                <w:tab w:val="left" w:pos="0"/>
              </w:tabs>
              <w:spacing w:line="276" w:lineRule="auto"/>
              <w:ind w:left="537" w:right="282"/>
              <w:jc w:val="both"/>
              <w:rPr>
                <w:rFonts w:ascii="Garamond" w:eastAsia="Garamond" w:hAnsi="Garamond" w:cs="Garamond"/>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p w:rsidR="006B22E1" w:rsidRDefault="006B22E1">
            <w:pPr>
              <w:pBdr>
                <w:top w:val="nil"/>
                <w:left w:val="nil"/>
                <w:bottom w:val="nil"/>
                <w:right w:val="nil"/>
                <w:between w:val="nil"/>
              </w:pBdr>
              <w:tabs>
                <w:tab w:val="left" w:pos="0"/>
              </w:tabs>
              <w:spacing w:line="276" w:lineRule="auto"/>
              <w:ind w:left="537" w:right="282"/>
              <w:jc w:val="both"/>
              <w:rPr>
                <w:color w:val="000000"/>
              </w:rPr>
            </w:pPr>
          </w:p>
        </w:tc>
      </w:tr>
      <w:tr w:rsidR="006B22E1">
        <w:trPr>
          <w:trHeight w:val="633"/>
          <w:jc w:val="center"/>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002060"/>
            <w:vAlign w:val="center"/>
          </w:tcPr>
          <w:p w:rsidR="006B22E1" w:rsidRDefault="006B22E1">
            <w:pPr>
              <w:spacing w:line="276" w:lineRule="auto"/>
            </w:pPr>
          </w:p>
          <w:p w:rsidR="006B22E1" w:rsidRDefault="00000000">
            <w:pPr>
              <w:spacing w:before="60" w:after="60" w:line="276" w:lineRule="auto"/>
              <w:ind w:left="68" w:right="181"/>
              <w:jc w:val="center"/>
              <w:rPr>
                <w:b/>
                <w:smallCaps/>
                <w:sz w:val="28"/>
                <w:szCs w:val="28"/>
              </w:rPr>
            </w:pPr>
            <w:r>
              <w:rPr>
                <w:b/>
                <w:smallCaps/>
                <w:sz w:val="28"/>
                <w:szCs w:val="28"/>
              </w:rPr>
              <w:t>Conoscenze</w:t>
            </w:r>
          </w:p>
        </w:tc>
      </w:tr>
      <w:tr w:rsidR="006B22E1">
        <w:trPr>
          <w:trHeight w:val="951"/>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lastRenderedPageBreak/>
              <w:t xml:space="preserve">Conoscenze LLGG </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spacing w:line="276" w:lineRule="auto"/>
              <w:ind w:left="720"/>
              <w:jc w:val="both"/>
              <w:rPr>
                <w:rFonts w:ascii="Garamond" w:eastAsia="Garamond" w:hAnsi="Garamond" w:cs="Garamond"/>
              </w:rPr>
            </w:pPr>
          </w:p>
          <w:p w:rsidR="006B22E1" w:rsidRDefault="00000000">
            <w:pPr>
              <w:numPr>
                <w:ilvl w:val="0"/>
                <w:numId w:val="7"/>
              </w:numPr>
              <w:spacing w:line="276" w:lineRule="auto"/>
              <w:jc w:val="both"/>
              <w:rPr>
                <w:rFonts w:ascii="Garamond" w:eastAsia="Garamond" w:hAnsi="Garamond" w:cs="Garamond"/>
              </w:rPr>
            </w:pPr>
            <w:r>
              <w:rPr>
                <w:rFonts w:ascii="Garamond" w:eastAsia="Garamond" w:hAnsi="Garamond" w:cs="Garamond"/>
              </w:rPr>
              <w:t>Norme che regolano la natura e l’attività dell’imprenditore e dell’impresa</w:t>
            </w:r>
          </w:p>
          <w:p w:rsidR="006B22E1" w:rsidRDefault="00000000">
            <w:pPr>
              <w:numPr>
                <w:ilvl w:val="0"/>
                <w:numId w:val="7"/>
              </w:numPr>
              <w:spacing w:line="276" w:lineRule="auto"/>
              <w:jc w:val="both"/>
              <w:rPr>
                <w:rFonts w:ascii="Garamond" w:eastAsia="Garamond" w:hAnsi="Garamond" w:cs="Garamond"/>
              </w:rPr>
            </w:pPr>
            <w:r>
              <w:rPr>
                <w:rFonts w:ascii="Garamond" w:eastAsia="Garamond" w:hAnsi="Garamond" w:cs="Garamond"/>
              </w:rPr>
              <w:t>Diritto commerciale e societario di settore</w:t>
            </w:r>
          </w:p>
          <w:p w:rsidR="006B22E1" w:rsidRDefault="00000000">
            <w:pPr>
              <w:numPr>
                <w:ilvl w:val="0"/>
                <w:numId w:val="7"/>
              </w:numPr>
              <w:spacing w:line="276" w:lineRule="auto"/>
              <w:jc w:val="both"/>
              <w:rPr>
                <w:rFonts w:ascii="Garamond" w:eastAsia="Garamond" w:hAnsi="Garamond" w:cs="Garamond"/>
              </w:rPr>
            </w:pPr>
            <w:r>
              <w:rPr>
                <w:rFonts w:ascii="Garamond" w:eastAsia="Garamond" w:hAnsi="Garamond" w:cs="Garamond"/>
              </w:rPr>
              <w:t>L’azienda e i segni distintivi dell’impresa</w:t>
            </w:r>
          </w:p>
          <w:p w:rsidR="006B22E1" w:rsidRDefault="006B22E1">
            <w:pPr>
              <w:spacing w:line="276" w:lineRule="auto"/>
              <w:ind w:left="720"/>
              <w:jc w:val="both"/>
              <w:rPr>
                <w:rFonts w:ascii="Garamond" w:eastAsia="Garamond" w:hAnsi="Garamond" w:cs="Garamond"/>
              </w:rPr>
            </w:pPr>
          </w:p>
        </w:tc>
      </w:tr>
      <w:tr w:rsidR="006B22E1">
        <w:trPr>
          <w:trHeight w:val="585"/>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Conoscenze</w:t>
            </w:r>
          </w:p>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da formulare</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pBdr>
                <w:top w:val="nil"/>
                <w:left w:val="nil"/>
                <w:bottom w:val="nil"/>
                <w:right w:val="nil"/>
                <w:between w:val="nil"/>
              </w:pBdr>
              <w:ind w:left="679" w:right="282"/>
              <w:jc w:val="both"/>
              <w:rPr>
                <w:rFonts w:ascii="Garamond" w:eastAsia="Garamond" w:hAnsi="Garamond" w:cs="Garamond"/>
                <w:color w:val="000000"/>
              </w:rPr>
            </w:pPr>
          </w:p>
          <w:p w:rsidR="006B22E1" w:rsidRDefault="00000000">
            <w:pPr>
              <w:numPr>
                <w:ilvl w:val="0"/>
                <w:numId w:val="8"/>
              </w:numPr>
              <w:pBdr>
                <w:top w:val="nil"/>
                <w:left w:val="nil"/>
                <w:bottom w:val="nil"/>
                <w:right w:val="nil"/>
                <w:between w:val="nil"/>
              </w:pBdr>
              <w:ind w:left="679" w:right="282" w:hanging="284"/>
              <w:jc w:val="both"/>
              <w:rPr>
                <w:rFonts w:ascii="Garamond" w:eastAsia="Garamond" w:hAnsi="Garamond" w:cs="Garamond"/>
                <w:color w:val="000000"/>
              </w:rPr>
            </w:pPr>
            <w:r>
              <w:rPr>
                <w:rFonts w:ascii="Garamond" w:eastAsia="Garamond" w:hAnsi="Garamond" w:cs="Garamond"/>
                <w:color w:val="000000"/>
              </w:rPr>
              <w:t>Nozione giuridica d’imprenditore, caratteristiche dell’attività imprenditoriale, criteri di classificazione delle imprese</w:t>
            </w:r>
          </w:p>
          <w:p w:rsidR="006B22E1" w:rsidRDefault="00000000">
            <w:pPr>
              <w:numPr>
                <w:ilvl w:val="0"/>
                <w:numId w:val="8"/>
              </w:numPr>
              <w:pBdr>
                <w:top w:val="nil"/>
                <w:left w:val="nil"/>
                <w:bottom w:val="nil"/>
                <w:right w:val="nil"/>
                <w:between w:val="nil"/>
              </w:pBdr>
              <w:ind w:left="679" w:right="282" w:hanging="284"/>
              <w:jc w:val="both"/>
              <w:rPr>
                <w:rFonts w:ascii="Garamond" w:eastAsia="Garamond" w:hAnsi="Garamond" w:cs="Garamond"/>
                <w:color w:val="000000"/>
              </w:rPr>
            </w:pPr>
            <w:r>
              <w:rPr>
                <w:rFonts w:ascii="Garamond" w:eastAsia="Garamond" w:hAnsi="Garamond" w:cs="Garamond"/>
                <w:color w:val="000000"/>
              </w:rPr>
              <w:t>L’imprenditore agricolo e l’imprenditore commerciale, il piccolo imprenditore e l’impresa familiare</w:t>
            </w:r>
          </w:p>
          <w:p w:rsidR="006B22E1" w:rsidRDefault="00000000">
            <w:pPr>
              <w:numPr>
                <w:ilvl w:val="0"/>
                <w:numId w:val="8"/>
              </w:numPr>
              <w:pBdr>
                <w:top w:val="nil"/>
                <w:left w:val="nil"/>
                <w:bottom w:val="nil"/>
                <w:right w:val="nil"/>
                <w:between w:val="nil"/>
              </w:pBdr>
              <w:tabs>
                <w:tab w:val="left" w:pos="993"/>
              </w:tabs>
              <w:ind w:left="679" w:right="282" w:hanging="284"/>
              <w:jc w:val="both"/>
              <w:rPr>
                <w:rFonts w:ascii="Garamond" w:eastAsia="Garamond" w:hAnsi="Garamond" w:cs="Garamond"/>
                <w:color w:val="000000"/>
              </w:rPr>
            </w:pPr>
            <w:r>
              <w:rPr>
                <w:rFonts w:ascii="Garamond" w:eastAsia="Garamond" w:hAnsi="Garamond" w:cs="Garamond"/>
                <w:color w:val="000000"/>
              </w:rPr>
              <w:t>Lo Statuto dell’imprenditore commerciale: capacità di esercitare un’impresa commerciale – Il registro delle imprese – Le scritture contabili e loro efficacia probatoria</w:t>
            </w:r>
          </w:p>
          <w:p w:rsidR="006B22E1" w:rsidRDefault="00000000">
            <w:pPr>
              <w:numPr>
                <w:ilvl w:val="0"/>
                <w:numId w:val="8"/>
              </w:numPr>
              <w:pBdr>
                <w:top w:val="nil"/>
                <w:left w:val="nil"/>
                <w:bottom w:val="nil"/>
                <w:right w:val="nil"/>
                <w:between w:val="nil"/>
              </w:pBdr>
              <w:tabs>
                <w:tab w:val="left" w:pos="993"/>
              </w:tabs>
              <w:ind w:left="679" w:right="282" w:hanging="284"/>
              <w:jc w:val="both"/>
              <w:rPr>
                <w:rFonts w:ascii="Garamond" w:eastAsia="Garamond" w:hAnsi="Garamond" w:cs="Garamond"/>
                <w:color w:val="000000"/>
              </w:rPr>
            </w:pPr>
            <w:r>
              <w:rPr>
                <w:rFonts w:ascii="Garamond" w:eastAsia="Garamond" w:hAnsi="Garamond" w:cs="Garamond"/>
                <w:color w:val="000000"/>
              </w:rPr>
              <w:t>L’imprenditore e i suoi ausiliari</w:t>
            </w:r>
          </w:p>
          <w:p w:rsidR="006B22E1" w:rsidRDefault="00000000">
            <w:pPr>
              <w:numPr>
                <w:ilvl w:val="0"/>
                <w:numId w:val="8"/>
              </w:numPr>
              <w:pBdr>
                <w:top w:val="nil"/>
                <w:left w:val="nil"/>
                <w:bottom w:val="nil"/>
                <w:right w:val="nil"/>
                <w:between w:val="nil"/>
              </w:pBdr>
              <w:tabs>
                <w:tab w:val="left" w:pos="993"/>
              </w:tabs>
              <w:ind w:left="679" w:right="282" w:hanging="284"/>
              <w:jc w:val="both"/>
              <w:rPr>
                <w:rFonts w:ascii="Garamond" w:eastAsia="Garamond" w:hAnsi="Garamond" w:cs="Garamond"/>
                <w:color w:val="000000"/>
              </w:rPr>
            </w:pPr>
            <w:r>
              <w:rPr>
                <w:rFonts w:ascii="Garamond" w:eastAsia="Garamond" w:hAnsi="Garamond" w:cs="Garamond"/>
                <w:color w:val="000000"/>
              </w:rPr>
              <w:t>La crisi dell’impresa: cenni sulle procedure concorsuali in particolare sul fallimento - caratteristiche e presupposti</w:t>
            </w:r>
          </w:p>
          <w:p w:rsidR="006B22E1" w:rsidRDefault="00000000">
            <w:pPr>
              <w:numPr>
                <w:ilvl w:val="0"/>
                <w:numId w:val="8"/>
              </w:numPr>
              <w:pBdr>
                <w:top w:val="nil"/>
                <w:left w:val="nil"/>
                <w:bottom w:val="nil"/>
                <w:right w:val="nil"/>
                <w:between w:val="nil"/>
              </w:pBdr>
              <w:tabs>
                <w:tab w:val="left" w:pos="993"/>
              </w:tabs>
              <w:ind w:left="679" w:right="282" w:hanging="284"/>
              <w:jc w:val="both"/>
              <w:rPr>
                <w:rFonts w:ascii="Garamond" w:eastAsia="Garamond" w:hAnsi="Garamond" w:cs="Garamond"/>
                <w:color w:val="000000"/>
              </w:rPr>
            </w:pPr>
            <w:r>
              <w:rPr>
                <w:rFonts w:ascii="Garamond" w:eastAsia="Garamond" w:hAnsi="Garamond" w:cs="Garamond"/>
                <w:color w:val="000000"/>
              </w:rPr>
              <w:t>Azienda e segni distintivi: ditta, insegna e marchio</w:t>
            </w:r>
          </w:p>
          <w:p w:rsidR="006B22E1" w:rsidRDefault="00000000">
            <w:pPr>
              <w:numPr>
                <w:ilvl w:val="0"/>
                <w:numId w:val="8"/>
              </w:numPr>
              <w:pBdr>
                <w:top w:val="nil"/>
                <w:left w:val="nil"/>
                <w:bottom w:val="nil"/>
                <w:right w:val="nil"/>
                <w:between w:val="nil"/>
              </w:pBdr>
              <w:tabs>
                <w:tab w:val="left" w:pos="993"/>
              </w:tabs>
              <w:ind w:left="679" w:right="282" w:hanging="284"/>
              <w:jc w:val="both"/>
              <w:rPr>
                <w:rFonts w:ascii="Garamond" w:eastAsia="Garamond" w:hAnsi="Garamond" w:cs="Garamond"/>
                <w:color w:val="000000"/>
              </w:rPr>
            </w:pPr>
            <w:r>
              <w:rPr>
                <w:rFonts w:ascii="Garamond" w:eastAsia="Garamond" w:hAnsi="Garamond" w:cs="Garamond"/>
                <w:color w:val="000000"/>
              </w:rPr>
              <w:t>L’impresa di navigazione;</w:t>
            </w:r>
          </w:p>
          <w:p w:rsidR="006B22E1" w:rsidRDefault="00000000">
            <w:pPr>
              <w:numPr>
                <w:ilvl w:val="0"/>
                <w:numId w:val="8"/>
              </w:numPr>
              <w:pBdr>
                <w:top w:val="nil"/>
                <w:left w:val="nil"/>
                <w:bottom w:val="nil"/>
                <w:right w:val="nil"/>
                <w:between w:val="nil"/>
              </w:pBdr>
              <w:tabs>
                <w:tab w:val="left" w:pos="993"/>
              </w:tabs>
              <w:ind w:left="679" w:right="282" w:hanging="284"/>
              <w:jc w:val="both"/>
              <w:rPr>
                <w:rFonts w:ascii="Garamond" w:eastAsia="Garamond" w:hAnsi="Garamond" w:cs="Garamond"/>
                <w:color w:val="000000"/>
              </w:rPr>
            </w:pPr>
            <w:r>
              <w:rPr>
                <w:rFonts w:ascii="Garamond" w:eastAsia="Garamond" w:hAnsi="Garamond" w:cs="Garamond"/>
                <w:color w:val="000000"/>
              </w:rPr>
              <w:t>La società: definizione e caratteri</w:t>
            </w:r>
          </w:p>
          <w:p w:rsidR="006B22E1" w:rsidRDefault="00000000">
            <w:pPr>
              <w:numPr>
                <w:ilvl w:val="0"/>
                <w:numId w:val="8"/>
              </w:numPr>
              <w:pBdr>
                <w:top w:val="nil"/>
                <w:left w:val="nil"/>
                <w:bottom w:val="nil"/>
                <w:right w:val="nil"/>
                <w:between w:val="nil"/>
              </w:pBdr>
              <w:tabs>
                <w:tab w:val="left" w:pos="993"/>
              </w:tabs>
              <w:ind w:left="679" w:right="282" w:hanging="284"/>
              <w:jc w:val="both"/>
              <w:rPr>
                <w:rFonts w:ascii="Garamond" w:eastAsia="Garamond" w:hAnsi="Garamond" w:cs="Garamond"/>
                <w:color w:val="000000"/>
              </w:rPr>
            </w:pPr>
            <w:r>
              <w:rPr>
                <w:rFonts w:ascii="Garamond" w:eastAsia="Garamond" w:hAnsi="Garamond" w:cs="Garamond"/>
                <w:color w:val="000000"/>
              </w:rPr>
              <w:t>Tipi di società</w:t>
            </w:r>
          </w:p>
          <w:p w:rsidR="006B22E1" w:rsidRDefault="00000000">
            <w:pPr>
              <w:numPr>
                <w:ilvl w:val="0"/>
                <w:numId w:val="8"/>
              </w:numPr>
              <w:pBdr>
                <w:top w:val="nil"/>
                <w:left w:val="nil"/>
                <w:bottom w:val="nil"/>
                <w:right w:val="nil"/>
                <w:between w:val="nil"/>
              </w:pBdr>
              <w:tabs>
                <w:tab w:val="left" w:pos="993"/>
              </w:tabs>
              <w:ind w:left="679" w:right="282" w:hanging="284"/>
              <w:jc w:val="both"/>
              <w:rPr>
                <w:rFonts w:ascii="Garamond" w:eastAsia="Garamond" w:hAnsi="Garamond" w:cs="Garamond"/>
                <w:color w:val="000000"/>
              </w:rPr>
            </w:pPr>
            <w:r>
              <w:rPr>
                <w:rFonts w:ascii="Garamond" w:eastAsia="Garamond" w:hAnsi="Garamond" w:cs="Garamond"/>
                <w:color w:val="000000"/>
              </w:rPr>
              <w:t>Società di armamento tra comproprietari</w:t>
            </w:r>
          </w:p>
          <w:p w:rsidR="006B22E1" w:rsidRDefault="00000000">
            <w:pPr>
              <w:ind w:left="142"/>
              <w:jc w:val="both"/>
              <w:rPr>
                <w:rFonts w:ascii="Garamond" w:eastAsia="Garamond" w:hAnsi="Garamond" w:cs="Garamond"/>
              </w:rPr>
            </w:pPr>
            <w:r>
              <w:rPr>
                <w:rFonts w:ascii="Garamond" w:eastAsia="Garamond" w:hAnsi="Garamond" w:cs="Garamond"/>
              </w:rPr>
              <w:tab/>
            </w:r>
          </w:p>
        </w:tc>
      </w:tr>
      <w:tr w:rsidR="006B22E1">
        <w:trPr>
          <w:trHeight w:val="1600"/>
          <w:jc w:val="center"/>
        </w:trPr>
        <w:tc>
          <w:tcPr>
            <w:tcW w:w="2943"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24"/>
                <w:szCs w:val="24"/>
              </w:rPr>
            </w:pPr>
            <w:r>
              <w:rPr>
                <w:rFonts w:ascii="Times New Roman" w:hAnsi="Times New Roman"/>
                <w:sz w:val="24"/>
                <w:szCs w:val="24"/>
              </w:rPr>
              <w:t>Contenuti disciplinari minimi</w:t>
            </w:r>
          </w:p>
        </w:tc>
        <w:tc>
          <w:tcPr>
            <w:tcW w:w="7557" w:type="dxa"/>
            <w:tcBorders>
              <w:top w:val="single" w:sz="4" w:space="0" w:color="000000"/>
              <w:left w:val="single" w:sz="4" w:space="0" w:color="000000"/>
              <w:bottom w:val="single" w:sz="4" w:space="0" w:color="000000"/>
              <w:right w:val="single" w:sz="4" w:space="0" w:color="000000"/>
            </w:tcBorders>
            <w:vAlign w:val="center"/>
          </w:tcPr>
          <w:p w:rsidR="006B22E1" w:rsidRDefault="006B22E1">
            <w:pPr>
              <w:spacing w:line="276" w:lineRule="auto"/>
              <w:ind w:left="720"/>
              <w:jc w:val="both"/>
            </w:pPr>
          </w:p>
          <w:p w:rsidR="006B22E1" w:rsidRDefault="00000000">
            <w:pPr>
              <w:numPr>
                <w:ilvl w:val="0"/>
                <w:numId w:val="7"/>
              </w:numPr>
              <w:spacing w:line="276" w:lineRule="auto"/>
              <w:jc w:val="both"/>
              <w:rPr>
                <w:rFonts w:ascii="Garamond" w:eastAsia="Garamond" w:hAnsi="Garamond" w:cs="Garamond"/>
              </w:rPr>
            </w:pPr>
            <w:r>
              <w:rPr>
                <w:rFonts w:ascii="Garamond" w:eastAsia="Garamond" w:hAnsi="Garamond" w:cs="Garamond"/>
              </w:rPr>
              <w:t>Definizione giuridica d’imprenditore ex art. 2082 c.c.</w:t>
            </w:r>
          </w:p>
          <w:p w:rsidR="006B22E1" w:rsidRDefault="00000000">
            <w:pPr>
              <w:numPr>
                <w:ilvl w:val="0"/>
                <w:numId w:val="7"/>
              </w:numPr>
              <w:spacing w:line="276" w:lineRule="auto"/>
              <w:jc w:val="both"/>
              <w:rPr>
                <w:rFonts w:ascii="Garamond" w:eastAsia="Garamond" w:hAnsi="Garamond" w:cs="Garamond"/>
              </w:rPr>
            </w:pPr>
            <w:r>
              <w:rPr>
                <w:rFonts w:ascii="Garamond" w:eastAsia="Garamond" w:hAnsi="Garamond" w:cs="Garamond"/>
              </w:rPr>
              <w:t xml:space="preserve">Classificazione delle imprese </w:t>
            </w:r>
          </w:p>
          <w:p w:rsidR="006B22E1" w:rsidRDefault="00000000">
            <w:pPr>
              <w:numPr>
                <w:ilvl w:val="0"/>
                <w:numId w:val="7"/>
              </w:numPr>
              <w:spacing w:line="276" w:lineRule="auto"/>
              <w:jc w:val="both"/>
              <w:rPr>
                <w:rFonts w:ascii="Garamond" w:eastAsia="Garamond" w:hAnsi="Garamond" w:cs="Garamond"/>
              </w:rPr>
            </w:pPr>
            <w:r>
              <w:rPr>
                <w:rFonts w:ascii="Garamond" w:eastAsia="Garamond" w:hAnsi="Garamond" w:cs="Garamond"/>
              </w:rPr>
              <w:t>Regole per la tenuta delle scritture contabili</w:t>
            </w:r>
          </w:p>
          <w:p w:rsidR="006B22E1" w:rsidRDefault="00000000">
            <w:pPr>
              <w:numPr>
                <w:ilvl w:val="0"/>
                <w:numId w:val="7"/>
              </w:numPr>
              <w:spacing w:line="276" w:lineRule="auto"/>
              <w:jc w:val="both"/>
              <w:rPr>
                <w:rFonts w:ascii="Garamond" w:eastAsia="Garamond" w:hAnsi="Garamond" w:cs="Garamond"/>
              </w:rPr>
            </w:pPr>
            <w:r>
              <w:rPr>
                <w:rFonts w:ascii="Garamond" w:eastAsia="Garamond" w:hAnsi="Garamond" w:cs="Garamond"/>
              </w:rPr>
              <w:t>Ausiliari dell’imprenditore</w:t>
            </w:r>
          </w:p>
          <w:p w:rsidR="006B22E1" w:rsidRDefault="00000000">
            <w:pPr>
              <w:numPr>
                <w:ilvl w:val="0"/>
                <w:numId w:val="7"/>
              </w:numPr>
              <w:spacing w:line="276" w:lineRule="auto"/>
              <w:jc w:val="both"/>
              <w:rPr>
                <w:rFonts w:ascii="Garamond" w:eastAsia="Garamond" w:hAnsi="Garamond" w:cs="Garamond"/>
              </w:rPr>
            </w:pPr>
            <w:r>
              <w:rPr>
                <w:rFonts w:ascii="Garamond" w:eastAsia="Garamond" w:hAnsi="Garamond" w:cs="Garamond"/>
              </w:rPr>
              <w:t>Azienda e segni distintivi dell’impresa</w:t>
            </w:r>
          </w:p>
          <w:p w:rsidR="006B22E1" w:rsidRDefault="00000000">
            <w:pPr>
              <w:numPr>
                <w:ilvl w:val="0"/>
                <w:numId w:val="7"/>
              </w:numPr>
              <w:spacing w:line="276" w:lineRule="auto"/>
              <w:jc w:val="both"/>
              <w:rPr>
                <w:rFonts w:ascii="Garamond" w:eastAsia="Garamond" w:hAnsi="Garamond" w:cs="Garamond"/>
              </w:rPr>
            </w:pPr>
            <w:r>
              <w:rPr>
                <w:rFonts w:ascii="Garamond" w:eastAsia="Garamond" w:hAnsi="Garamond" w:cs="Garamond"/>
              </w:rPr>
              <w:t>Crisi dell’impresa: presupposti e caratteristiche del fallimento</w:t>
            </w:r>
          </w:p>
          <w:p w:rsidR="006B22E1" w:rsidRDefault="00000000">
            <w:pPr>
              <w:numPr>
                <w:ilvl w:val="0"/>
                <w:numId w:val="7"/>
              </w:numPr>
              <w:spacing w:line="276" w:lineRule="auto"/>
              <w:jc w:val="both"/>
              <w:rPr>
                <w:rFonts w:ascii="Garamond" w:eastAsia="Garamond" w:hAnsi="Garamond" w:cs="Garamond"/>
              </w:rPr>
            </w:pPr>
            <w:r>
              <w:rPr>
                <w:rFonts w:ascii="Garamond" w:eastAsia="Garamond" w:hAnsi="Garamond" w:cs="Garamond"/>
              </w:rPr>
              <w:t>Concetto di società e tipi</w:t>
            </w:r>
          </w:p>
          <w:p w:rsidR="006B22E1" w:rsidRDefault="006B22E1">
            <w:pPr>
              <w:spacing w:line="276" w:lineRule="auto"/>
              <w:ind w:left="720"/>
              <w:jc w:val="both"/>
              <w:rPr>
                <w:rFonts w:ascii="Garamond" w:eastAsia="Garamond" w:hAnsi="Garamond" w:cs="Garamond"/>
              </w:rPr>
            </w:pPr>
          </w:p>
          <w:p w:rsidR="006B22E1" w:rsidRDefault="006B22E1">
            <w:pPr>
              <w:spacing w:line="276" w:lineRule="auto"/>
              <w:ind w:left="720"/>
              <w:jc w:val="both"/>
            </w:pPr>
          </w:p>
        </w:tc>
      </w:tr>
    </w:tbl>
    <w:p w:rsidR="006B22E1" w:rsidRDefault="006B22E1"/>
    <w:p w:rsidR="006B22E1" w:rsidRDefault="006B22E1"/>
    <w:p w:rsidR="006B22E1" w:rsidRDefault="006B22E1"/>
    <w:p w:rsidR="006B22E1" w:rsidRDefault="006B22E1"/>
    <w:p w:rsidR="006B22E1" w:rsidRDefault="006B22E1"/>
    <w:p w:rsidR="006B22E1" w:rsidRDefault="006B22E1"/>
    <w:tbl>
      <w:tblPr>
        <w:tblStyle w:val="a6"/>
        <w:tblW w:w="99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58"/>
        <w:gridCol w:w="7"/>
        <w:gridCol w:w="1894"/>
        <w:gridCol w:w="1639"/>
        <w:gridCol w:w="11"/>
        <w:gridCol w:w="3636"/>
      </w:tblGrid>
      <w:tr w:rsidR="006B22E1">
        <w:trPr>
          <w:trHeight w:val="309"/>
        </w:trPr>
        <w:tc>
          <w:tcPr>
            <w:tcW w:w="2758"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lastRenderedPageBreak/>
              <w:t>Impegno Orario</w:t>
            </w:r>
          </w:p>
        </w:tc>
        <w:tc>
          <w:tcPr>
            <w:tcW w:w="1901"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spacing w:line="276" w:lineRule="auto"/>
              <w:ind w:left="170"/>
              <w:rPr>
                <w:sz w:val="18"/>
                <w:szCs w:val="18"/>
              </w:rPr>
            </w:pPr>
            <w:r>
              <w:rPr>
                <w:sz w:val="18"/>
                <w:szCs w:val="18"/>
              </w:rPr>
              <w:t xml:space="preserve">Durata in ore </w:t>
            </w:r>
          </w:p>
        </w:tc>
        <w:tc>
          <w:tcPr>
            <w:tcW w:w="5286" w:type="dxa"/>
            <w:gridSpan w:val="3"/>
            <w:tcBorders>
              <w:top w:val="single" w:sz="4" w:space="0" w:color="000000"/>
              <w:left w:val="single" w:sz="4" w:space="0" w:color="000000"/>
              <w:bottom w:val="single" w:sz="4" w:space="0" w:color="000000"/>
              <w:right w:val="single" w:sz="4" w:space="0" w:color="000000"/>
            </w:tcBorders>
            <w:vAlign w:val="center"/>
          </w:tcPr>
          <w:p w:rsidR="006B22E1" w:rsidRDefault="00000000">
            <w:pPr>
              <w:spacing w:line="276" w:lineRule="auto"/>
              <w:rPr>
                <w:sz w:val="18"/>
                <w:szCs w:val="18"/>
              </w:rPr>
            </w:pPr>
            <w:r>
              <w:rPr>
                <w:sz w:val="18"/>
                <w:szCs w:val="18"/>
              </w:rPr>
              <w:t>Ore 17 - modulo 3 Impresa e società</w:t>
            </w:r>
          </w:p>
        </w:tc>
      </w:tr>
      <w:tr w:rsidR="006B22E1">
        <w:trPr>
          <w:trHeight w:val="705"/>
        </w:trPr>
        <w:tc>
          <w:tcPr>
            <w:tcW w:w="2758"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Metodi Formativi</w:t>
            </w:r>
          </w:p>
          <w:p w:rsidR="006B22E1" w:rsidRDefault="00000000">
            <w:pPr>
              <w:spacing w:line="276" w:lineRule="auto"/>
              <w:jc w:val="center"/>
              <w:rPr>
                <w:color w:val="FF0000"/>
                <w:sz w:val="18"/>
                <w:szCs w:val="18"/>
              </w:rPr>
            </w:pPr>
            <w:r>
              <w:rPr>
                <w:i/>
                <w:sz w:val="18"/>
                <w:szCs w:val="18"/>
              </w:rPr>
              <w:t>È  possibile selezionare più voci</w:t>
            </w:r>
          </w:p>
        </w:tc>
        <w:tc>
          <w:tcPr>
            <w:tcW w:w="3551" w:type="dxa"/>
            <w:gridSpan w:val="4"/>
            <w:tcBorders>
              <w:top w:val="single" w:sz="4" w:space="0" w:color="000000"/>
              <w:left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sz w:val="22"/>
                <w:szCs w:val="22"/>
              </w:rPr>
              <w:t>lezione frontale</w:t>
            </w:r>
          </w:p>
          <w:p w:rsidR="006B22E1"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esercitazioni</w:t>
            </w:r>
          </w:p>
          <w:p w:rsidR="006B22E1"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dialogo formativo</w:t>
            </w:r>
          </w:p>
          <w:p w:rsidR="006B22E1" w:rsidRDefault="00000000">
            <w:pPr>
              <w:rPr>
                <w:rFonts w:ascii="Garamond" w:eastAsia="Garamond" w:hAnsi="Garamond" w:cs="Garamond"/>
              </w:rPr>
            </w:pPr>
            <w:r>
              <w:rPr>
                <w:rFonts w:ascii="Wingdings" w:eastAsia="Wingdings" w:hAnsi="Wingdings" w:cs="Wingdings"/>
              </w:rPr>
              <w:t>⌧</w:t>
            </w:r>
            <w:r>
              <w:rPr>
                <w:sz w:val="22"/>
                <w:szCs w:val="22"/>
              </w:rPr>
              <w:t xml:space="preserve">  </w:t>
            </w:r>
            <w:r>
              <w:rPr>
                <w:rFonts w:ascii="Garamond" w:eastAsia="Garamond" w:hAnsi="Garamond" w:cs="Garamond"/>
              </w:rPr>
              <w:t>problem solving</w:t>
            </w:r>
          </w:p>
          <w:p w:rsidR="006B22E1" w:rsidRDefault="006B22E1">
            <w:pPr>
              <w:spacing w:line="276" w:lineRule="auto"/>
              <w:rPr>
                <w:b/>
                <w:sz w:val="18"/>
                <w:szCs w:val="18"/>
              </w:rPr>
            </w:pPr>
          </w:p>
        </w:tc>
        <w:tc>
          <w:tcPr>
            <w:tcW w:w="3636" w:type="dxa"/>
            <w:tcBorders>
              <w:top w:val="single" w:sz="4" w:space="0" w:color="000000"/>
              <w:left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percorso di autoapprendimento</w:t>
            </w:r>
          </w:p>
          <w:p w:rsidR="006B22E1" w:rsidRDefault="00000000">
            <w:pPr>
              <w:rPr>
                <w:rFonts w:ascii="Garamond" w:eastAsia="Garamond" w:hAnsi="Garamond" w:cs="Garamond"/>
              </w:rPr>
            </w:pPr>
            <w:r>
              <w:rPr>
                <w:rFonts w:ascii="Garamond" w:eastAsia="Garamond" w:hAnsi="Garamond" w:cs="Garamond"/>
              </w:rPr>
              <w:t>□ clil</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PCTO</w:t>
            </w:r>
          </w:p>
          <w:p w:rsidR="006B22E1" w:rsidRDefault="00000000">
            <w:pPr>
              <w:spacing w:line="276" w:lineRule="auto"/>
              <w:rPr>
                <w:i/>
                <w:sz w:val="18"/>
                <w:szCs w:val="18"/>
              </w:rPr>
            </w:pPr>
            <w:sdt>
              <w:sdtPr>
                <w:tag w:val="goog_rdk_9"/>
                <w:id w:val="760334397"/>
              </w:sdtPr>
              <w:sdtContent>
                <w:r>
                  <w:rPr>
                    <w:rFonts w:ascii="Cardo" w:eastAsia="Cardo" w:hAnsi="Cardo" w:cs="Cardo"/>
                  </w:rPr>
                  <w:t>⌧</w:t>
                </w:r>
              </w:sdtContent>
            </w:sdt>
            <w:r>
              <w:rPr>
                <w:rFonts w:ascii="Garamond" w:eastAsia="Garamond" w:hAnsi="Garamond" w:cs="Garamond"/>
              </w:rPr>
              <w:t xml:space="preserve"> Altro: lavoro di gruppo</w:t>
            </w:r>
          </w:p>
        </w:tc>
      </w:tr>
      <w:tr w:rsidR="006B22E1">
        <w:trPr>
          <w:trHeight w:val="456"/>
        </w:trPr>
        <w:tc>
          <w:tcPr>
            <w:tcW w:w="2758" w:type="dxa"/>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Mezzi, strumenti</w:t>
            </w:r>
          </w:p>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e sussidi</w:t>
            </w:r>
          </w:p>
        </w:tc>
        <w:tc>
          <w:tcPr>
            <w:tcW w:w="3551" w:type="dxa"/>
            <w:gridSpan w:val="4"/>
            <w:tcBorders>
              <w:top w:val="single" w:sz="4" w:space="0" w:color="000000"/>
              <w:left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PC</w:t>
            </w:r>
          </w:p>
          <w:p w:rsidR="006B22E1" w:rsidRDefault="00000000">
            <w:pPr>
              <w:rPr>
                <w:rFonts w:ascii="Garamond" w:eastAsia="Garamond" w:hAnsi="Garamond" w:cs="Garamond"/>
              </w:rPr>
            </w:pPr>
            <w:r>
              <w:rPr>
                <w:rFonts w:ascii="Garamond" w:eastAsia="Garamond" w:hAnsi="Garamond" w:cs="Garamond"/>
              </w:rPr>
              <w:t xml:space="preserve">     ○ Argo</w:t>
            </w:r>
          </w:p>
          <w:p w:rsidR="006B22E1" w:rsidRDefault="00000000">
            <w:pPr>
              <w:rPr>
                <w:rFonts w:ascii="Garamond" w:eastAsia="Garamond" w:hAnsi="Garamond" w:cs="Garamond"/>
              </w:rPr>
            </w:pPr>
            <w:r>
              <w:rPr>
                <w:rFonts w:ascii="Garamond" w:eastAsia="Garamond" w:hAnsi="Garamond" w:cs="Garamond"/>
              </w:rPr>
              <w:t xml:space="preserve">     ○ GSuite</w:t>
            </w:r>
          </w:p>
          <w:p w:rsidR="006B22E1" w:rsidRDefault="00000000">
            <w:pPr>
              <w:rPr>
                <w:rFonts w:ascii="Garamond" w:eastAsia="Garamond" w:hAnsi="Garamond" w:cs="Garamond"/>
              </w:rPr>
            </w:pPr>
            <w:r>
              <w:rPr>
                <w:rFonts w:ascii="Garamond" w:eastAsia="Garamond" w:hAnsi="Garamond" w:cs="Garamond"/>
              </w:rPr>
              <w:t xml:space="preserve">     ○ Meet</w:t>
            </w:r>
          </w:p>
          <w:p w:rsidR="006B22E1" w:rsidRDefault="00000000">
            <w:pPr>
              <w:rPr>
                <w:rFonts w:ascii="Garamond" w:eastAsia="Garamond" w:hAnsi="Garamond" w:cs="Garamond"/>
              </w:rPr>
            </w:pPr>
            <w:r>
              <w:rPr>
                <w:rFonts w:ascii="Garamond" w:eastAsia="Garamond" w:hAnsi="Garamond" w:cs="Garamond"/>
              </w:rPr>
              <w:t xml:space="preserve">     ○ Moduli Google</w:t>
            </w:r>
          </w:p>
          <w:p w:rsidR="006B22E1" w:rsidRDefault="00000000">
            <w:pPr>
              <w:spacing w:line="276" w:lineRule="auto"/>
              <w:rPr>
                <w:sz w:val="18"/>
                <w:szCs w:val="18"/>
              </w:rPr>
            </w:pPr>
            <w:r>
              <w:rPr>
                <w:rFonts w:ascii="Garamond" w:eastAsia="Garamond" w:hAnsi="Garamond" w:cs="Garamond"/>
              </w:rPr>
              <w:t xml:space="preserve"> </w:t>
            </w:r>
            <w:sdt>
              <w:sdtPr>
                <w:tag w:val="goog_rdk_10"/>
                <w:id w:val="562141872"/>
              </w:sdtPr>
              <w:sdtContent>
                <w:r>
                  <w:rPr>
                    <w:rFonts w:ascii="Cardo" w:eastAsia="Cardo" w:hAnsi="Cardo" w:cs="Cardo"/>
                  </w:rPr>
                  <w:t>⌧</w:t>
                </w:r>
              </w:sdtContent>
            </w:sdt>
            <w:r>
              <w:rPr>
                <w:rFonts w:ascii="Garamond" w:eastAsia="Garamond" w:hAnsi="Garamond" w:cs="Garamond"/>
              </w:rPr>
              <w:t xml:space="preserve"> virtual - lab</w:t>
            </w:r>
          </w:p>
        </w:tc>
        <w:tc>
          <w:tcPr>
            <w:tcW w:w="3636" w:type="dxa"/>
            <w:tcBorders>
              <w:top w:val="single" w:sz="4" w:space="0" w:color="000000"/>
              <w:left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dispense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libro di testo</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pubblicazioni ed e-book</w:t>
            </w:r>
          </w:p>
          <w:p w:rsidR="006B22E1" w:rsidRDefault="00000000">
            <w:pPr>
              <w:rPr>
                <w:rFonts w:ascii="Garamond" w:eastAsia="Garamond" w:hAnsi="Garamond" w:cs="Garamond"/>
                <w:sz w:val="18"/>
                <w:szCs w:val="18"/>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apparati multimediali</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Codice Civile</w:t>
            </w:r>
          </w:p>
          <w:p w:rsidR="006B22E1" w:rsidRDefault="00000000">
            <w:pPr>
              <w:spacing w:line="276" w:lineRule="auto"/>
              <w:rPr>
                <w:sz w:val="18"/>
                <w:szCs w:val="18"/>
              </w:rPr>
            </w:pPr>
            <w:sdt>
              <w:sdtPr>
                <w:tag w:val="goog_rdk_11"/>
                <w:id w:val="-1450929172"/>
              </w:sdtPr>
              <w:sdtContent>
                <w:r>
                  <w:rPr>
                    <w:rFonts w:ascii="Cardo" w:eastAsia="Cardo" w:hAnsi="Cardo" w:cs="Cardo"/>
                  </w:rPr>
                  <w:t>⌧</w:t>
                </w:r>
              </w:sdtContent>
            </w:sdt>
            <w:r>
              <w:rPr>
                <w:rFonts w:ascii="Garamond" w:eastAsia="Garamond" w:hAnsi="Garamond" w:cs="Garamond"/>
              </w:rPr>
              <w:t xml:space="preserve"> Codice della Navigazione</w:t>
            </w:r>
          </w:p>
        </w:tc>
      </w:tr>
      <w:tr w:rsidR="006B22E1">
        <w:trPr>
          <w:trHeight w:val="359"/>
        </w:trPr>
        <w:tc>
          <w:tcPr>
            <w:tcW w:w="9945" w:type="dxa"/>
            <w:gridSpan w:val="6"/>
            <w:tcBorders>
              <w:top w:val="single" w:sz="4" w:space="0" w:color="000000"/>
              <w:left w:val="single" w:sz="4" w:space="0" w:color="000000"/>
              <w:bottom w:val="single" w:sz="4" w:space="0" w:color="000000"/>
              <w:right w:val="single" w:sz="4" w:space="0" w:color="000000"/>
            </w:tcBorders>
            <w:shd w:val="clear" w:color="auto" w:fill="002060"/>
            <w:vAlign w:val="center"/>
          </w:tcPr>
          <w:p w:rsidR="006B22E1" w:rsidRDefault="00000000">
            <w:pPr>
              <w:pStyle w:val="Titolo2"/>
              <w:spacing w:line="276" w:lineRule="auto"/>
              <w:jc w:val="center"/>
              <w:rPr>
                <w:rFonts w:ascii="Times New Roman" w:hAnsi="Times New Roman"/>
                <w:smallCaps/>
                <w:sz w:val="18"/>
                <w:szCs w:val="18"/>
              </w:rPr>
            </w:pPr>
            <w:r>
              <w:rPr>
                <w:rFonts w:ascii="Times New Roman" w:hAnsi="Times New Roman"/>
                <w:smallCaps/>
                <w:sz w:val="18"/>
                <w:szCs w:val="18"/>
              </w:rPr>
              <w:t>Verifiche E Criteri Di Valutazione</w:t>
            </w:r>
          </w:p>
        </w:tc>
      </w:tr>
      <w:tr w:rsidR="006B22E1">
        <w:trPr>
          <w:trHeight w:val="837"/>
        </w:trPr>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In itinere</w:t>
            </w:r>
          </w:p>
        </w:tc>
        <w:tc>
          <w:tcPr>
            <w:tcW w:w="3533"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Garamond" w:eastAsia="Garamond" w:hAnsi="Garamond" w:cs="Garamond"/>
              </w:rPr>
              <w:t>□ prova strutturata</w:t>
            </w:r>
          </w:p>
          <w:p w:rsidR="006B22E1" w:rsidRDefault="00000000">
            <w:pPr>
              <w:rPr>
                <w:rFonts w:ascii="Garamond" w:eastAsia="Garamond" w:hAnsi="Garamond" w:cs="Garamond"/>
              </w:rPr>
            </w:pPr>
            <w:r>
              <w:rPr>
                <w:rFonts w:ascii="Garamond" w:eastAsia="Garamond" w:hAnsi="Garamond" w:cs="Garamond"/>
              </w:rPr>
              <w:t>□ prova semistrutturata</w:t>
            </w:r>
          </w:p>
          <w:p w:rsidR="006B22E1" w:rsidRDefault="00000000">
            <w:pPr>
              <w:rPr>
                <w:rFonts w:ascii="Garamond" w:eastAsia="Garamond" w:hAnsi="Garamond" w:cs="Garamond"/>
              </w:rPr>
            </w:pPr>
            <w:r>
              <w:rPr>
                <w:rFonts w:ascii="Garamond" w:eastAsia="Garamond" w:hAnsi="Garamond" w:cs="Garamond"/>
              </w:rPr>
              <w:t>□ prova in laboratorio</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6B22E1" w:rsidRDefault="00000000">
            <w:pPr>
              <w:rPr>
                <w:rFonts w:ascii="Garamond" w:eastAsia="Garamond" w:hAnsi="Garamond" w:cs="Garamond"/>
              </w:rPr>
            </w:pP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griglie di osservazione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comprensione del testo</w:t>
            </w:r>
          </w:p>
          <w:p w:rsidR="006B22E1" w:rsidRDefault="00000000">
            <w:pPr>
              <w:rPr>
                <w:rFonts w:ascii="Garamond" w:eastAsia="Garamond" w:hAnsi="Garamond" w:cs="Garamond"/>
              </w:rPr>
            </w:pPr>
            <w:r>
              <w:rPr>
                <w:rFonts w:ascii="Garamond" w:eastAsia="Garamond" w:hAnsi="Garamond" w:cs="Garamond"/>
              </w:rPr>
              <w:t>□    prova di simulazione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verifica orale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6B22E1" w:rsidRDefault="00000000">
            <w:pPr>
              <w:spacing w:line="276" w:lineRule="auto"/>
              <w:rPr>
                <w:sz w:val="18"/>
                <w:szCs w:val="18"/>
              </w:rPr>
            </w:pPr>
            <w:r>
              <w:rPr>
                <w:rFonts w:ascii="Garamond" w:eastAsia="Garamond" w:hAnsi="Garamond" w:cs="Garamond"/>
              </w:rPr>
              <w:t>□    elaborazioni grafiche</w:t>
            </w:r>
          </w:p>
        </w:tc>
        <w:tc>
          <w:tcPr>
            <w:tcW w:w="3647" w:type="dxa"/>
            <w:gridSpan w:val="2"/>
            <w:vMerge w:val="restart"/>
            <w:tcBorders>
              <w:top w:val="single" w:sz="4" w:space="0" w:color="000000"/>
              <w:left w:val="single" w:sz="4" w:space="0" w:color="000000"/>
              <w:bottom w:val="single" w:sz="4" w:space="0" w:color="000000"/>
              <w:right w:val="single" w:sz="4" w:space="0" w:color="000000"/>
            </w:tcBorders>
            <w:vAlign w:val="center"/>
          </w:tcPr>
          <w:p w:rsidR="006B22E1" w:rsidRDefault="00000000">
            <w:pPr>
              <w:spacing w:line="276" w:lineRule="auto"/>
              <w:rPr>
                <w:rFonts w:ascii="Garamond" w:eastAsia="Garamond" w:hAnsi="Garamond" w:cs="Garamond"/>
              </w:rPr>
            </w:pPr>
            <w:r>
              <w:rPr>
                <w:noProof/>
              </w:rPr>
              <mc:AlternateContent>
                <mc:Choice Requires="wpg">
                  <w:drawing>
                    <wp:anchor distT="0" distB="0" distL="114300" distR="114300" simplePos="0" relativeHeight="251661312" behindDoc="0" locked="0" layoutInCell="1" hidden="0" allowOverlap="1">
                      <wp:simplePos x="0" y="0"/>
                      <wp:positionH relativeFrom="column">
                        <wp:posOffset>330200</wp:posOffset>
                      </wp:positionH>
                      <wp:positionV relativeFrom="paragraph">
                        <wp:posOffset>25400</wp:posOffset>
                      </wp:positionV>
                      <wp:extent cx="1591945" cy="285750"/>
                      <wp:effectExtent l="0" t="0" r="0" b="0"/>
                      <wp:wrapNone/>
                      <wp:docPr id="10" name="Rettangolo 10"/>
                      <wp:cNvGraphicFramePr/>
                      <a:graphic xmlns:a="http://schemas.openxmlformats.org/drawingml/2006/main">
                        <a:graphicData uri="http://schemas.microsoft.com/office/word/2010/wordprocessingShape">
                          <wps:wsp>
                            <wps:cNvSpPr/>
                            <wps:spPr>
                              <a:xfrm>
                                <a:off x="4554790" y="3641888"/>
                                <a:ext cx="1582420" cy="2762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B22E1" w:rsidRDefault="00000000">
                                  <w:pPr>
                                    <w:textDirection w:val="btLr"/>
                                  </w:pPr>
                                  <w:r>
                                    <w:rPr>
                                      <w:color w:val="000000"/>
                                    </w:rPr>
                                    <w:t>Criteri di Valutazione</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330200</wp:posOffset>
                      </wp:positionH>
                      <wp:positionV relativeFrom="paragraph">
                        <wp:posOffset>25400</wp:posOffset>
                      </wp:positionV>
                      <wp:extent cx="1591945" cy="285750"/>
                      <wp:effectExtent b="0" l="0" r="0" t="0"/>
                      <wp:wrapNone/>
                      <wp:docPr id="10"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1591945" cy="285750"/>
                              </a:xfrm>
                              <a:prstGeom prst="rect"/>
                              <a:ln/>
                            </pic:spPr>
                          </pic:pic>
                        </a:graphicData>
                      </a:graphic>
                    </wp:anchor>
                  </w:drawing>
                </mc:Fallback>
              </mc:AlternateContent>
            </w:r>
          </w:p>
          <w:p w:rsidR="006B22E1" w:rsidRDefault="006B22E1">
            <w:pPr>
              <w:spacing w:line="276" w:lineRule="auto"/>
              <w:rPr>
                <w:rFonts w:ascii="Garamond" w:eastAsia="Garamond" w:hAnsi="Garamond" w:cs="Garamond"/>
              </w:rPr>
            </w:pPr>
          </w:p>
          <w:p w:rsidR="006B22E1" w:rsidRDefault="006B22E1">
            <w:pPr>
              <w:spacing w:line="276" w:lineRule="auto"/>
              <w:rPr>
                <w:rFonts w:ascii="Garamond" w:eastAsia="Garamond" w:hAnsi="Garamond" w:cs="Garamond"/>
              </w:rPr>
            </w:pPr>
          </w:p>
          <w:p w:rsidR="006B22E1" w:rsidRDefault="00000000">
            <w:pPr>
              <w:jc w:val="both"/>
              <w:rPr>
                <w:rFonts w:ascii="Garamond" w:eastAsia="Garamond" w:hAnsi="Garamond" w:cs="Garamond"/>
              </w:rPr>
            </w:pPr>
            <w:r>
              <w:rPr>
                <w:rFonts w:ascii="Garamond" w:eastAsia="Garamond" w:hAnsi="Garamond" w:cs="Garamond"/>
              </w:rPr>
              <w:t xml:space="preserve">I criteri di valutazione per le prove sono quelli riportati nel P.T.O.F.; </w:t>
            </w:r>
          </w:p>
          <w:p w:rsidR="006B22E1" w:rsidRDefault="006B22E1">
            <w:pPr>
              <w:jc w:val="both"/>
              <w:rPr>
                <w:rFonts w:ascii="Garamond" w:eastAsia="Garamond" w:hAnsi="Garamond" w:cs="Garamond"/>
              </w:rPr>
            </w:pPr>
          </w:p>
          <w:p w:rsidR="006B22E1" w:rsidRDefault="006B22E1">
            <w:pPr>
              <w:jc w:val="both"/>
              <w:rPr>
                <w:rFonts w:ascii="Garamond" w:eastAsia="Garamond" w:hAnsi="Garamond" w:cs="Garamond"/>
              </w:rPr>
            </w:pPr>
          </w:p>
          <w:p w:rsidR="006B22E1" w:rsidRDefault="00000000">
            <w:pPr>
              <w:spacing w:line="276" w:lineRule="auto"/>
              <w:jc w:val="both"/>
              <w:rPr>
                <w:rFonts w:ascii="Garamond" w:eastAsia="Garamond" w:hAnsi="Garamond" w:cs="Garamond"/>
              </w:rPr>
            </w:pPr>
            <w:r>
              <w:rPr>
                <w:rFonts w:ascii="Garamond" w:eastAsia="Garamond" w:hAnsi="Garamond" w:cs="Garamond"/>
              </w:rPr>
              <w:t>Nella valutazione finale si tiene conto del profitto, dell’impegno, della partecipazione attiva alle lezioni in presenza e in modalità didattica integrata e dei progressi compiuti dall’allievo nella sua attività di apprendimento.</w:t>
            </w:r>
          </w:p>
        </w:tc>
      </w:tr>
      <w:tr w:rsidR="006B22E1">
        <w:trPr>
          <w:trHeight w:val="2863"/>
        </w:trPr>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Fine modulo</w:t>
            </w:r>
          </w:p>
        </w:tc>
        <w:tc>
          <w:tcPr>
            <w:tcW w:w="3533"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rPr>
                <w:rFonts w:ascii="Garamond" w:eastAsia="Garamond" w:hAnsi="Garamond" w:cs="Garamond"/>
              </w:rPr>
            </w:pPr>
            <w:r>
              <w:rPr>
                <w:rFonts w:ascii="Garamond" w:eastAsia="Garamond" w:hAnsi="Garamond" w:cs="Garamond"/>
              </w:rPr>
              <w:t>□ prova strutturata</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prova semistrutturata</w:t>
            </w:r>
          </w:p>
          <w:p w:rsidR="006B22E1" w:rsidRDefault="00000000">
            <w:pPr>
              <w:rPr>
                <w:rFonts w:ascii="Garamond" w:eastAsia="Garamond" w:hAnsi="Garamond" w:cs="Garamond"/>
              </w:rPr>
            </w:pPr>
            <w:r>
              <w:rPr>
                <w:rFonts w:ascii="Garamond" w:eastAsia="Garamond" w:hAnsi="Garamond" w:cs="Garamond"/>
              </w:rPr>
              <w:t>□  prova in laboratorio</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6B22E1" w:rsidRDefault="00000000">
            <w:pPr>
              <w:rPr>
                <w:rFonts w:ascii="Garamond" w:eastAsia="Garamond" w:hAnsi="Garamond" w:cs="Garamond"/>
              </w:rPr>
            </w:pPr>
            <w:r>
              <w:rPr>
                <w:rFonts w:ascii="Garamond" w:eastAsia="Garamond" w:hAnsi="Garamond" w:cs="Garamond"/>
                <w:i/>
              </w:rPr>
              <w:t xml:space="preserve">□  </w:t>
            </w:r>
            <w:r>
              <w:rPr>
                <w:rFonts w:ascii="Garamond" w:eastAsia="Garamond" w:hAnsi="Garamond" w:cs="Garamond"/>
              </w:rPr>
              <w:t>griglie di osservazione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comprensione del testo</w:t>
            </w:r>
          </w:p>
          <w:p w:rsidR="006B22E1" w:rsidRDefault="00000000">
            <w:pPr>
              <w:rPr>
                <w:rFonts w:ascii="Garamond" w:eastAsia="Garamond" w:hAnsi="Garamond" w:cs="Garamond"/>
              </w:rPr>
            </w:pPr>
            <w:r>
              <w:rPr>
                <w:rFonts w:ascii="Garamond" w:eastAsia="Garamond" w:hAnsi="Garamond" w:cs="Garamond"/>
              </w:rPr>
              <w:t>□  prova di simulazione</w:t>
            </w:r>
          </w:p>
          <w:p w:rsidR="006B22E1"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6B22E1" w:rsidRDefault="00000000">
            <w:pPr>
              <w:spacing w:line="276" w:lineRule="auto"/>
              <w:rPr>
                <w:sz w:val="18"/>
                <w:szCs w:val="18"/>
              </w:rPr>
            </w:pPr>
            <w:r>
              <w:rPr>
                <w:rFonts w:ascii="Garamond" w:eastAsia="Garamond" w:hAnsi="Garamond" w:cs="Garamond"/>
              </w:rPr>
              <w:t>□  elaborazioni grafiche</w:t>
            </w:r>
          </w:p>
        </w:tc>
        <w:tc>
          <w:tcPr>
            <w:tcW w:w="3647" w:type="dxa"/>
            <w:gridSpan w:val="2"/>
            <w:vMerge/>
            <w:tcBorders>
              <w:top w:val="single" w:sz="4" w:space="0" w:color="000000"/>
              <w:left w:val="single" w:sz="4" w:space="0" w:color="000000"/>
              <w:bottom w:val="single" w:sz="4" w:space="0" w:color="000000"/>
              <w:right w:val="single" w:sz="4" w:space="0" w:color="000000"/>
            </w:tcBorders>
            <w:vAlign w:val="center"/>
          </w:tcPr>
          <w:p w:rsidR="006B22E1" w:rsidRDefault="006B22E1">
            <w:pPr>
              <w:widowControl w:val="0"/>
              <w:pBdr>
                <w:top w:val="nil"/>
                <w:left w:val="nil"/>
                <w:bottom w:val="nil"/>
                <w:right w:val="nil"/>
                <w:between w:val="nil"/>
              </w:pBdr>
              <w:spacing w:line="276" w:lineRule="auto"/>
              <w:rPr>
                <w:sz w:val="18"/>
                <w:szCs w:val="18"/>
              </w:rPr>
            </w:pPr>
          </w:p>
        </w:tc>
      </w:tr>
      <w:tr w:rsidR="006B22E1">
        <w:trPr>
          <w:trHeight w:val="408"/>
        </w:trPr>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 xml:space="preserve">Livelli minimi per le </w:t>
            </w:r>
          </w:p>
          <w:p w:rsidR="006B22E1" w:rsidRDefault="00000000">
            <w:pPr>
              <w:pStyle w:val="Titolo2"/>
              <w:spacing w:line="276" w:lineRule="auto"/>
              <w:jc w:val="center"/>
              <w:rPr>
                <w:rFonts w:ascii="Times New Roman" w:hAnsi="Times New Roman"/>
                <w:sz w:val="18"/>
                <w:szCs w:val="18"/>
              </w:rPr>
            </w:pPr>
            <w:r>
              <w:rPr>
                <w:rFonts w:ascii="Times New Roman" w:hAnsi="Times New Roman"/>
                <w:sz w:val="18"/>
                <w:szCs w:val="18"/>
              </w:rPr>
              <w:t>verifiche</w:t>
            </w:r>
          </w:p>
        </w:tc>
        <w:tc>
          <w:tcPr>
            <w:tcW w:w="7180" w:type="dxa"/>
            <w:gridSpan w:val="4"/>
            <w:tcBorders>
              <w:top w:val="single" w:sz="4" w:space="0" w:color="000000"/>
              <w:left w:val="single" w:sz="4" w:space="0" w:color="000000"/>
              <w:bottom w:val="single" w:sz="4" w:space="0" w:color="000000"/>
              <w:right w:val="single" w:sz="4" w:space="0" w:color="000000"/>
            </w:tcBorders>
            <w:vAlign w:val="center"/>
          </w:tcPr>
          <w:p w:rsidR="006B22E1" w:rsidRDefault="00000000">
            <w:pPr>
              <w:spacing w:line="276" w:lineRule="auto"/>
              <w:jc w:val="both"/>
              <w:rPr>
                <w:rFonts w:ascii="Garamond" w:eastAsia="Garamond" w:hAnsi="Garamond" w:cs="Garamond"/>
              </w:rPr>
            </w:pPr>
            <w:r>
              <w:rPr>
                <w:rFonts w:ascii="Garamond" w:eastAsia="Garamond" w:hAnsi="Garamond" w:cs="Garamond"/>
              </w:rPr>
              <w:t>Conoscenze ed abilità essenziali sul ruolo dell’imprenditore e sulle diverse tipologie d’impresa; nozioni sui collaboratori dell’imprenditore; conoscenze di base sulla crisi dell’impresa</w:t>
            </w:r>
          </w:p>
        </w:tc>
      </w:tr>
      <w:tr w:rsidR="006B22E1">
        <w:trPr>
          <w:trHeight w:val="408"/>
        </w:trPr>
        <w:tc>
          <w:tcPr>
            <w:tcW w:w="2765" w:type="dxa"/>
            <w:gridSpan w:val="2"/>
            <w:tcBorders>
              <w:top w:val="single" w:sz="4" w:space="0" w:color="000000"/>
              <w:left w:val="single" w:sz="4" w:space="0" w:color="000000"/>
              <w:bottom w:val="single" w:sz="4" w:space="0" w:color="000000"/>
              <w:right w:val="single" w:sz="4" w:space="0" w:color="000000"/>
            </w:tcBorders>
            <w:vAlign w:val="center"/>
          </w:tcPr>
          <w:p w:rsidR="006B22E1" w:rsidRDefault="00000000">
            <w:pPr>
              <w:pStyle w:val="Titolo2"/>
              <w:jc w:val="center"/>
              <w:rPr>
                <w:rFonts w:ascii="Times New Roman" w:hAnsi="Times New Roman"/>
                <w:sz w:val="20"/>
                <w:szCs w:val="20"/>
              </w:rPr>
            </w:pPr>
            <w:r>
              <w:rPr>
                <w:rFonts w:ascii="Times New Roman" w:hAnsi="Times New Roman"/>
                <w:sz w:val="20"/>
                <w:szCs w:val="20"/>
              </w:rPr>
              <w:t xml:space="preserve">Azioni di recupero e di </w:t>
            </w:r>
          </w:p>
          <w:p w:rsidR="006B22E1" w:rsidRDefault="00000000">
            <w:pPr>
              <w:pStyle w:val="Titolo2"/>
              <w:spacing w:line="276" w:lineRule="auto"/>
              <w:jc w:val="center"/>
              <w:rPr>
                <w:rFonts w:ascii="Times New Roman" w:hAnsi="Times New Roman"/>
                <w:sz w:val="18"/>
                <w:szCs w:val="18"/>
              </w:rPr>
            </w:pPr>
            <w:r>
              <w:rPr>
                <w:rFonts w:ascii="Times New Roman" w:hAnsi="Times New Roman"/>
                <w:sz w:val="20"/>
                <w:szCs w:val="20"/>
              </w:rPr>
              <w:t>approfondimento</w:t>
            </w:r>
          </w:p>
        </w:tc>
        <w:tc>
          <w:tcPr>
            <w:tcW w:w="7180" w:type="dxa"/>
            <w:gridSpan w:val="4"/>
            <w:tcBorders>
              <w:top w:val="single" w:sz="4" w:space="0" w:color="000000"/>
              <w:left w:val="single" w:sz="4" w:space="0" w:color="000000"/>
              <w:bottom w:val="single" w:sz="4" w:space="0" w:color="000000"/>
              <w:right w:val="single" w:sz="4" w:space="0" w:color="000000"/>
            </w:tcBorders>
            <w:vAlign w:val="center"/>
          </w:tcPr>
          <w:p w:rsidR="006B22E1" w:rsidRDefault="00000000">
            <w:pPr>
              <w:jc w:val="both"/>
              <w:rPr>
                <w:rFonts w:ascii="Garamond" w:eastAsia="Garamond" w:hAnsi="Garamond" w:cs="Garamond"/>
              </w:rPr>
            </w:pPr>
            <w:r>
              <w:rPr>
                <w:rFonts w:ascii="Garamond" w:eastAsia="Garamond" w:hAnsi="Garamond" w:cs="Garamond"/>
              </w:rPr>
              <w:t xml:space="preserve">Il recupero curriculare sarà costante al fine di favorire l’apprendimento degli alunni più fragili nonché il potenziamento di quelli più rispondenti; a seguito degli esiti del primo trimestre, nel mese di gennaio, verranno riesaminati le tematiche già svolte per consentire il recupero di chi ha riportato le insufficienze. </w:t>
            </w:r>
          </w:p>
          <w:p w:rsidR="006B22E1" w:rsidRDefault="00000000">
            <w:pPr>
              <w:spacing w:line="276" w:lineRule="auto"/>
              <w:jc w:val="both"/>
              <w:rPr>
                <w:rFonts w:ascii="Garamond" w:eastAsia="Garamond" w:hAnsi="Garamond" w:cs="Garamond"/>
              </w:rPr>
            </w:pPr>
            <w:r>
              <w:rPr>
                <w:rFonts w:ascii="Garamond" w:eastAsia="Garamond" w:hAnsi="Garamond" w:cs="Garamond"/>
              </w:rPr>
              <w:t>L’approfondimento consisterà nella produzione di lavori di ricerca su tematiche particolarmente significative quali: l’imprenditore occulto, la società in nome collettivo non registrata.</w:t>
            </w:r>
          </w:p>
        </w:tc>
      </w:tr>
    </w:tbl>
    <w:p w:rsidR="006B22E1" w:rsidRDefault="00000000">
      <w:pPr>
        <w:jc w:val="both"/>
      </w:pPr>
      <w:r>
        <w:t>Ogni modulo verrà trattato semplificando i contenuti per consentirne la comprensione. In caso di necessità di attivazione della DDI, attraverso il canale di Argo, e della piattaforma Gsuite si lavorerà con gli alunni mediante invio di ppt, di mappe concettuali, di dispense. Tramite poi report degli allievi, si valuterà il loro profitto anche in termini di partecipazione ed interesse. L’utilizzo di mappe, slides, materiale on line servirà per approfondire le diverse tematiche favorendone l’apprendimento.</w:t>
      </w:r>
    </w:p>
    <w:p w:rsidR="006B22E1" w:rsidRDefault="00000000">
      <w:pPr>
        <w:jc w:val="both"/>
      </w:pPr>
      <w:r>
        <w:lastRenderedPageBreak/>
        <w:t>Gli alunni DSA, BES e diversabili seguiranno le attività secondo le modalità operative dei rispettivi piani di lavoro.</w:t>
      </w:r>
    </w:p>
    <w:p w:rsidR="006B22E1" w:rsidRDefault="00000000">
      <w:pPr>
        <w:jc w:val="both"/>
        <w:rPr>
          <w:rFonts w:ascii="Garamond" w:eastAsia="Garamond" w:hAnsi="Garamond" w:cs="Garamond"/>
        </w:rPr>
      </w:pPr>
      <w:r>
        <w:rPr>
          <w:rFonts w:ascii="Garamond" w:eastAsia="Garamond" w:hAnsi="Garamond" w:cs="Garamond"/>
        </w:rPr>
        <w:t xml:space="preserve">Palermo,   </w:t>
      </w:r>
    </w:p>
    <w:p w:rsidR="006B22E1" w:rsidRDefault="00000000">
      <w:pPr>
        <w:jc w:val="both"/>
        <w:rPr>
          <w:rFonts w:ascii="Garamond" w:eastAsia="Garamond" w:hAnsi="Garamond" w:cs="Garamond"/>
        </w:rPr>
      </w:pPr>
      <w:bookmarkStart w:id="0" w:name="_heading=h.gjdgxs" w:colFirst="0" w:colLast="0"/>
      <w:bookmarkEnd w:id="0"/>
      <w:r>
        <w:rPr>
          <w:rFonts w:ascii="Garamond" w:eastAsia="Garamond" w:hAnsi="Garamond" w:cs="Garamond"/>
        </w:rPr>
        <w:tab/>
      </w:r>
      <w:r>
        <w:rPr>
          <w:rFonts w:ascii="Garamond" w:eastAsia="Garamond" w:hAnsi="Garamond" w:cs="Garamond"/>
        </w:rPr>
        <w:tab/>
      </w:r>
      <w:r>
        <w:rPr>
          <w:rFonts w:ascii="Garamond" w:eastAsia="Garamond" w:hAnsi="Garamond" w:cs="Garamond"/>
        </w:rPr>
        <w:tab/>
      </w:r>
      <w:r>
        <w:rPr>
          <w:rFonts w:ascii="Garamond" w:eastAsia="Garamond" w:hAnsi="Garamond" w:cs="Garamond"/>
        </w:rPr>
        <w:tab/>
      </w:r>
      <w:r>
        <w:rPr>
          <w:rFonts w:ascii="Garamond" w:eastAsia="Garamond" w:hAnsi="Garamond" w:cs="Garamond"/>
        </w:rPr>
        <w:tab/>
      </w:r>
      <w:r>
        <w:rPr>
          <w:rFonts w:ascii="Garamond" w:eastAsia="Garamond" w:hAnsi="Garamond" w:cs="Garamond"/>
        </w:rPr>
        <w:tab/>
      </w:r>
      <w:r>
        <w:rPr>
          <w:rFonts w:ascii="Garamond" w:eastAsia="Garamond" w:hAnsi="Garamond" w:cs="Garamond"/>
        </w:rPr>
        <w:tab/>
        <w:t xml:space="preserve">Prof.ssa </w:t>
      </w:r>
    </w:p>
    <w:p w:rsidR="006B22E1" w:rsidRDefault="00000000">
      <w:pPr>
        <w:jc w:val="both"/>
        <w:rPr>
          <w:rFonts w:ascii="Garamond" w:eastAsia="Garamond" w:hAnsi="Garamond" w:cs="Garamond"/>
        </w:rPr>
      </w:pPr>
      <w:r>
        <w:rPr>
          <w:rFonts w:ascii="Garamond" w:eastAsia="Garamond" w:hAnsi="Garamond" w:cs="Garamond"/>
        </w:rPr>
        <w:tab/>
      </w:r>
      <w:r>
        <w:rPr>
          <w:rFonts w:ascii="Garamond" w:eastAsia="Garamond" w:hAnsi="Garamond" w:cs="Garamond"/>
        </w:rPr>
        <w:tab/>
      </w:r>
      <w:r>
        <w:rPr>
          <w:rFonts w:ascii="Garamond" w:eastAsia="Garamond" w:hAnsi="Garamond" w:cs="Garamond"/>
        </w:rPr>
        <w:tab/>
      </w:r>
      <w:r>
        <w:rPr>
          <w:rFonts w:ascii="Garamond" w:eastAsia="Garamond" w:hAnsi="Garamond" w:cs="Garamond"/>
        </w:rPr>
        <w:tab/>
      </w:r>
      <w:r>
        <w:rPr>
          <w:rFonts w:ascii="Garamond" w:eastAsia="Garamond" w:hAnsi="Garamond" w:cs="Garamond"/>
        </w:rPr>
        <w:tab/>
      </w:r>
    </w:p>
    <w:sectPr w:rsidR="006B22E1">
      <w:pgSz w:w="11906" w:h="16838"/>
      <w:pgMar w:top="709" w:right="1134" w:bottom="1134" w:left="709"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Wingdings">
    <w:panose1 w:val="05000000000000000000"/>
    <w:charset w:val="4D"/>
    <w:family w:val="decorative"/>
    <w:pitch w:val="variable"/>
    <w:sig w:usb0="00000003" w:usb1="00000000" w:usb2="00000000" w:usb3="00000000" w:csb0="80000001" w:csb1="00000000"/>
  </w:font>
  <w:font w:name="Cardo">
    <w:charset w:val="00"/>
    <w:family w:val="auto"/>
    <w:pitch w:val="default"/>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F4F2B"/>
    <w:multiLevelType w:val="multilevel"/>
    <w:tmpl w:val="D3A6355C"/>
    <w:lvl w:ilvl="0">
      <w:start w:val="1"/>
      <w:numFmt w:val="bullet"/>
      <w:lvlText w:val="●"/>
      <w:lvlJc w:val="left"/>
      <w:pPr>
        <w:ind w:left="1399" w:hanging="360"/>
      </w:pPr>
      <w:rPr>
        <w:rFonts w:ascii="Noto Sans Symbols" w:eastAsia="Noto Sans Symbols" w:hAnsi="Noto Sans Symbols" w:cs="Noto Sans Symbols"/>
      </w:rPr>
    </w:lvl>
    <w:lvl w:ilvl="1">
      <w:start w:val="1"/>
      <w:numFmt w:val="bullet"/>
      <w:lvlText w:val="o"/>
      <w:lvlJc w:val="left"/>
      <w:pPr>
        <w:ind w:left="2119" w:hanging="360"/>
      </w:pPr>
      <w:rPr>
        <w:rFonts w:ascii="Courier New" w:eastAsia="Courier New" w:hAnsi="Courier New" w:cs="Courier New"/>
      </w:rPr>
    </w:lvl>
    <w:lvl w:ilvl="2">
      <w:start w:val="1"/>
      <w:numFmt w:val="bullet"/>
      <w:lvlText w:val="▪"/>
      <w:lvlJc w:val="left"/>
      <w:pPr>
        <w:ind w:left="2839" w:hanging="360"/>
      </w:pPr>
      <w:rPr>
        <w:rFonts w:ascii="Noto Sans Symbols" w:eastAsia="Noto Sans Symbols" w:hAnsi="Noto Sans Symbols" w:cs="Noto Sans Symbols"/>
      </w:rPr>
    </w:lvl>
    <w:lvl w:ilvl="3">
      <w:start w:val="1"/>
      <w:numFmt w:val="bullet"/>
      <w:lvlText w:val="●"/>
      <w:lvlJc w:val="left"/>
      <w:pPr>
        <w:ind w:left="3559" w:hanging="360"/>
      </w:pPr>
      <w:rPr>
        <w:rFonts w:ascii="Noto Sans Symbols" w:eastAsia="Noto Sans Symbols" w:hAnsi="Noto Sans Symbols" w:cs="Noto Sans Symbols"/>
      </w:rPr>
    </w:lvl>
    <w:lvl w:ilvl="4">
      <w:start w:val="1"/>
      <w:numFmt w:val="bullet"/>
      <w:lvlText w:val="o"/>
      <w:lvlJc w:val="left"/>
      <w:pPr>
        <w:ind w:left="4279" w:hanging="360"/>
      </w:pPr>
      <w:rPr>
        <w:rFonts w:ascii="Courier New" w:eastAsia="Courier New" w:hAnsi="Courier New" w:cs="Courier New"/>
      </w:rPr>
    </w:lvl>
    <w:lvl w:ilvl="5">
      <w:start w:val="1"/>
      <w:numFmt w:val="bullet"/>
      <w:lvlText w:val="▪"/>
      <w:lvlJc w:val="left"/>
      <w:pPr>
        <w:ind w:left="4999" w:hanging="360"/>
      </w:pPr>
      <w:rPr>
        <w:rFonts w:ascii="Noto Sans Symbols" w:eastAsia="Noto Sans Symbols" w:hAnsi="Noto Sans Symbols" w:cs="Noto Sans Symbols"/>
      </w:rPr>
    </w:lvl>
    <w:lvl w:ilvl="6">
      <w:start w:val="1"/>
      <w:numFmt w:val="bullet"/>
      <w:lvlText w:val="●"/>
      <w:lvlJc w:val="left"/>
      <w:pPr>
        <w:ind w:left="5719" w:hanging="360"/>
      </w:pPr>
      <w:rPr>
        <w:rFonts w:ascii="Noto Sans Symbols" w:eastAsia="Noto Sans Symbols" w:hAnsi="Noto Sans Symbols" w:cs="Noto Sans Symbols"/>
      </w:rPr>
    </w:lvl>
    <w:lvl w:ilvl="7">
      <w:start w:val="1"/>
      <w:numFmt w:val="bullet"/>
      <w:lvlText w:val="o"/>
      <w:lvlJc w:val="left"/>
      <w:pPr>
        <w:ind w:left="6439" w:hanging="360"/>
      </w:pPr>
      <w:rPr>
        <w:rFonts w:ascii="Courier New" w:eastAsia="Courier New" w:hAnsi="Courier New" w:cs="Courier New"/>
      </w:rPr>
    </w:lvl>
    <w:lvl w:ilvl="8">
      <w:start w:val="1"/>
      <w:numFmt w:val="bullet"/>
      <w:lvlText w:val="▪"/>
      <w:lvlJc w:val="left"/>
      <w:pPr>
        <w:ind w:left="7159" w:hanging="360"/>
      </w:pPr>
      <w:rPr>
        <w:rFonts w:ascii="Noto Sans Symbols" w:eastAsia="Noto Sans Symbols" w:hAnsi="Noto Sans Symbols" w:cs="Noto Sans Symbols"/>
      </w:rPr>
    </w:lvl>
  </w:abstractNum>
  <w:abstractNum w:abstractNumId="1" w15:restartNumberingAfterBreak="0">
    <w:nsid w:val="17542768"/>
    <w:multiLevelType w:val="multilevel"/>
    <w:tmpl w:val="E10E88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2D2513"/>
    <w:multiLevelType w:val="multilevel"/>
    <w:tmpl w:val="118800F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1DD951EB"/>
    <w:multiLevelType w:val="multilevel"/>
    <w:tmpl w:val="C21E7D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F6A26D1"/>
    <w:multiLevelType w:val="multilevel"/>
    <w:tmpl w:val="C304E83A"/>
    <w:lvl w:ilvl="0">
      <w:start w:val="1"/>
      <w:numFmt w:val="bullet"/>
      <w:lvlText w:val="●"/>
      <w:lvlJc w:val="left"/>
      <w:pPr>
        <w:ind w:left="716" w:hanging="360"/>
      </w:pPr>
      <w:rPr>
        <w:rFonts w:ascii="Noto Sans Symbols" w:eastAsia="Noto Sans Symbols" w:hAnsi="Noto Sans Symbols" w:cs="Noto Sans Symbols"/>
      </w:rPr>
    </w:lvl>
    <w:lvl w:ilvl="1">
      <w:start w:val="1"/>
      <w:numFmt w:val="bullet"/>
      <w:lvlText w:val="o"/>
      <w:lvlJc w:val="left"/>
      <w:pPr>
        <w:ind w:left="1436" w:hanging="360"/>
      </w:pPr>
      <w:rPr>
        <w:rFonts w:ascii="Courier New" w:eastAsia="Courier New" w:hAnsi="Courier New" w:cs="Courier New"/>
      </w:rPr>
    </w:lvl>
    <w:lvl w:ilvl="2">
      <w:start w:val="1"/>
      <w:numFmt w:val="bullet"/>
      <w:lvlText w:val="▪"/>
      <w:lvlJc w:val="left"/>
      <w:pPr>
        <w:ind w:left="2156" w:hanging="360"/>
      </w:pPr>
      <w:rPr>
        <w:rFonts w:ascii="Noto Sans Symbols" w:eastAsia="Noto Sans Symbols" w:hAnsi="Noto Sans Symbols" w:cs="Noto Sans Symbols"/>
      </w:rPr>
    </w:lvl>
    <w:lvl w:ilvl="3">
      <w:start w:val="1"/>
      <w:numFmt w:val="bullet"/>
      <w:lvlText w:val="●"/>
      <w:lvlJc w:val="left"/>
      <w:pPr>
        <w:ind w:left="2876" w:hanging="360"/>
      </w:pPr>
      <w:rPr>
        <w:rFonts w:ascii="Noto Sans Symbols" w:eastAsia="Noto Sans Symbols" w:hAnsi="Noto Sans Symbols" w:cs="Noto Sans Symbols"/>
      </w:rPr>
    </w:lvl>
    <w:lvl w:ilvl="4">
      <w:start w:val="1"/>
      <w:numFmt w:val="bullet"/>
      <w:lvlText w:val="o"/>
      <w:lvlJc w:val="left"/>
      <w:pPr>
        <w:ind w:left="3596" w:hanging="360"/>
      </w:pPr>
      <w:rPr>
        <w:rFonts w:ascii="Courier New" w:eastAsia="Courier New" w:hAnsi="Courier New" w:cs="Courier New"/>
      </w:rPr>
    </w:lvl>
    <w:lvl w:ilvl="5">
      <w:start w:val="1"/>
      <w:numFmt w:val="bullet"/>
      <w:lvlText w:val="▪"/>
      <w:lvlJc w:val="left"/>
      <w:pPr>
        <w:ind w:left="4316" w:hanging="360"/>
      </w:pPr>
      <w:rPr>
        <w:rFonts w:ascii="Noto Sans Symbols" w:eastAsia="Noto Sans Symbols" w:hAnsi="Noto Sans Symbols" w:cs="Noto Sans Symbols"/>
      </w:rPr>
    </w:lvl>
    <w:lvl w:ilvl="6">
      <w:start w:val="1"/>
      <w:numFmt w:val="bullet"/>
      <w:lvlText w:val="●"/>
      <w:lvlJc w:val="left"/>
      <w:pPr>
        <w:ind w:left="5036" w:hanging="360"/>
      </w:pPr>
      <w:rPr>
        <w:rFonts w:ascii="Noto Sans Symbols" w:eastAsia="Noto Sans Symbols" w:hAnsi="Noto Sans Symbols" w:cs="Noto Sans Symbols"/>
      </w:rPr>
    </w:lvl>
    <w:lvl w:ilvl="7">
      <w:start w:val="1"/>
      <w:numFmt w:val="bullet"/>
      <w:lvlText w:val="o"/>
      <w:lvlJc w:val="left"/>
      <w:pPr>
        <w:ind w:left="5756" w:hanging="360"/>
      </w:pPr>
      <w:rPr>
        <w:rFonts w:ascii="Courier New" w:eastAsia="Courier New" w:hAnsi="Courier New" w:cs="Courier New"/>
      </w:rPr>
    </w:lvl>
    <w:lvl w:ilvl="8">
      <w:start w:val="1"/>
      <w:numFmt w:val="bullet"/>
      <w:lvlText w:val="▪"/>
      <w:lvlJc w:val="left"/>
      <w:pPr>
        <w:ind w:left="6476" w:hanging="360"/>
      </w:pPr>
      <w:rPr>
        <w:rFonts w:ascii="Noto Sans Symbols" w:eastAsia="Noto Sans Symbols" w:hAnsi="Noto Sans Symbols" w:cs="Noto Sans Symbols"/>
      </w:rPr>
    </w:lvl>
  </w:abstractNum>
  <w:abstractNum w:abstractNumId="5" w15:restartNumberingAfterBreak="0">
    <w:nsid w:val="5F91156F"/>
    <w:multiLevelType w:val="multilevel"/>
    <w:tmpl w:val="F52A00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92D30DF"/>
    <w:multiLevelType w:val="multilevel"/>
    <w:tmpl w:val="25AA75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E156D6C"/>
    <w:multiLevelType w:val="multilevel"/>
    <w:tmpl w:val="1B5AA0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F6C5153"/>
    <w:multiLevelType w:val="multilevel"/>
    <w:tmpl w:val="256CE6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88386641">
    <w:abstractNumId w:val="5"/>
  </w:num>
  <w:num w:numId="2" w16cid:durableId="1110511773">
    <w:abstractNumId w:val="4"/>
  </w:num>
  <w:num w:numId="3" w16cid:durableId="1487472980">
    <w:abstractNumId w:val="3"/>
  </w:num>
  <w:num w:numId="4" w16cid:durableId="612328923">
    <w:abstractNumId w:val="7"/>
  </w:num>
  <w:num w:numId="5" w16cid:durableId="514074282">
    <w:abstractNumId w:val="6"/>
  </w:num>
  <w:num w:numId="6" w16cid:durableId="2072459124">
    <w:abstractNumId w:val="2"/>
  </w:num>
  <w:num w:numId="7" w16cid:durableId="883519461">
    <w:abstractNumId w:val="1"/>
  </w:num>
  <w:num w:numId="8" w16cid:durableId="1204058545">
    <w:abstractNumId w:val="0"/>
  </w:num>
  <w:num w:numId="9" w16cid:durableId="15695398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2E1"/>
    <w:rsid w:val="006B22E1"/>
    <w:rsid w:val="00C06918"/>
    <w:rsid w:val="00C174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3E4BB24"/>
  <w15:docId w15:val="{E45DA293-D35A-B246-99B8-32EE7B490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0785E"/>
    <w:pPr>
      <w:suppressAutoHyphens/>
    </w:pPr>
    <w:rPr>
      <w:lang w:eastAsia="ar-SA"/>
    </w:r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unhideWhenUsed/>
    <w:qFormat/>
    <w:rsid w:val="00F070BD"/>
    <w:pPr>
      <w:keepNext/>
      <w:spacing w:before="240" w:after="60"/>
      <w:outlineLvl w:val="1"/>
    </w:pPr>
    <w:rPr>
      <w:rFonts w:ascii="Cambria" w:hAnsi="Cambria"/>
      <w:b/>
      <w:bCs/>
      <w:i/>
      <w:iCs/>
      <w:sz w:val="28"/>
      <w:szCs w:val="28"/>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rsid w:val="008C4DE9"/>
    <w:pPr>
      <w:suppressAutoHyphens w:val="0"/>
      <w:jc w:val="center"/>
    </w:pPr>
    <w:rPr>
      <w:b/>
      <w:lang w:eastAsia="it-IT"/>
    </w:rPr>
  </w:style>
  <w:style w:type="character" w:customStyle="1" w:styleId="Titolo2Carattere">
    <w:name w:val="Titolo 2 Carattere"/>
    <w:basedOn w:val="Carpredefinitoparagrafo"/>
    <w:link w:val="Titolo2"/>
    <w:uiPriority w:val="9"/>
    <w:rsid w:val="00F070BD"/>
    <w:rPr>
      <w:rFonts w:ascii="Cambria" w:eastAsia="Times New Roman" w:hAnsi="Cambria" w:cs="Times New Roman"/>
      <w:b/>
      <w:bCs/>
      <w:i/>
      <w:iCs/>
      <w:sz w:val="28"/>
      <w:szCs w:val="28"/>
      <w:lang w:eastAsia="ar-SA"/>
    </w:rPr>
  </w:style>
  <w:style w:type="paragraph" w:styleId="NormaleWeb">
    <w:name w:val="Normal (Web)"/>
    <w:basedOn w:val="Normale"/>
    <w:rsid w:val="00F070BD"/>
    <w:pPr>
      <w:suppressAutoHyphens w:val="0"/>
      <w:spacing w:before="100" w:beforeAutospacing="1" w:after="100" w:afterAutospacing="1"/>
    </w:pPr>
    <w:rPr>
      <w:lang w:eastAsia="it-IT"/>
    </w:rPr>
  </w:style>
  <w:style w:type="paragraph" w:styleId="Paragrafoelenco">
    <w:name w:val="List Paragraph"/>
    <w:basedOn w:val="Normale"/>
    <w:uiPriority w:val="34"/>
    <w:qFormat/>
    <w:rsid w:val="00F070BD"/>
    <w:pPr>
      <w:ind w:left="720"/>
      <w:contextualSpacing/>
    </w:pPr>
  </w:style>
  <w:style w:type="paragraph" w:styleId="Intestazione">
    <w:name w:val="header"/>
    <w:basedOn w:val="Normale"/>
    <w:link w:val="IntestazioneCarattere"/>
    <w:rsid w:val="00314117"/>
    <w:pPr>
      <w:tabs>
        <w:tab w:val="center" w:pos="4819"/>
        <w:tab w:val="right" w:pos="9638"/>
      </w:tabs>
    </w:pPr>
  </w:style>
  <w:style w:type="character" w:customStyle="1" w:styleId="IntestazioneCarattere">
    <w:name w:val="Intestazione Carattere"/>
    <w:basedOn w:val="Carpredefinitoparagrafo"/>
    <w:link w:val="Intestazione"/>
    <w:rsid w:val="00314117"/>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sid w:val="00AC245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C2457"/>
    <w:rPr>
      <w:rFonts w:ascii="Tahoma" w:eastAsia="Times New Roman" w:hAnsi="Tahoma" w:cs="Tahoma"/>
      <w:sz w:val="16"/>
      <w:szCs w:val="16"/>
      <w:lang w:eastAsia="ar-SA"/>
    </w:rPr>
  </w:style>
  <w:style w:type="character" w:customStyle="1" w:styleId="TitoloCarattere">
    <w:name w:val="Titolo Carattere"/>
    <w:basedOn w:val="Carpredefinitoparagrafo"/>
    <w:link w:val="Titolo"/>
    <w:rsid w:val="008C4DE9"/>
    <w:rPr>
      <w:rFonts w:ascii="Times New Roman" w:eastAsia="Times New Roman" w:hAnsi="Times New Roman" w:cs="Times New Roman"/>
      <w:b/>
      <w:sz w:val="24"/>
      <w:szCs w:val="24"/>
      <w:lang w:eastAsia="it-IT"/>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wJyhpK/12QnmE/G1OL9U8xNTSA==">AMUW2mXMF4KYA9/j5cBWVztpaZ3dhci9N3U3Q8Wh/Dks60rz+uae7T37OcJqw/JMyz0O0zxI3g66a7CL1+dOEPJayA/QOPin/H/+nBcmye/75TrFV0oqEpZUUVfK7JtnwDHBpgApsWqqfSf+h68kzMjH8p7rAwlK5eZMaqvKj2pZq9NHZZsnyyXhGL0H+LTh/JEhvfNOxs8MCaaGXxyWv6QjdNo5pq6wAiCnlWJKiks0SnCMABQrVYifkgYZcBSF1eYwxXDX08EEgSbnobTP5rhbGx6jEip5Cm5b08mpk+ij54MsI68JmU8VIZPKTypXAeQOhYa4nNmQE1CKaToVAPTRzi/P2He/nOlZeD0J2v3n6nO+JPMU01uJT4rMDbBuyER5EpfPS4zwI1+LI+/v4DhpZ85XWkvggWWWMSa9mujCFgyihka4IVZaSAIphwwvP2lvh62MPgU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2347</Words>
  <Characters>13379</Characters>
  <Application>Microsoft Office Word</Application>
  <DocSecurity>0</DocSecurity>
  <Lines>111</Lines>
  <Paragraphs>31</Paragraphs>
  <ScaleCrop>false</ScaleCrop>
  <Company/>
  <LinksUpToDate>false</LinksUpToDate>
  <CharactersWithSpaces>15695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dc:creator>
  <cp:lastModifiedBy>Microsoft Office User</cp:lastModifiedBy>
  <cp:revision>3</cp:revision>
  <dcterms:created xsi:type="dcterms:W3CDTF">2021-10-02T14:02:00Z</dcterms:created>
  <dcterms:modified xsi:type="dcterms:W3CDTF">2023-04-03T06:19:00Z</dcterms:modified>
</cp:coreProperties>
</file>